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pPr>
        <w:jc w:val="left"/>
        <w:rPr>
          <w:rFonts w:ascii="黑体" w:eastAsia="黑体"/>
          <w:bCs/>
          <w:color w:val="000000" w:themeColor="text1"/>
          <w:sz w:val="32"/>
          <w:szCs w:val="32"/>
          <w:highlight w:val="none"/>
          <w14:textFill>
            <w14:solidFill>
              <w14:schemeClr w14:val="tx1"/>
            </w14:solidFill>
          </w14:textFill>
        </w:rPr>
      </w:pPr>
      <w:r>
        <w:rPr>
          <w:rFonts w:hint="eastAsia" w:ascii="黑体" w:eastAsia="黑体"/>
          <w:bCs/>
          <w:color w:val="000000" w:themeColor="text1"/>
          <w:sz w:val="32"/>
          <w:szCs w:val="32"/>
          <w:highlight w:val="none"/>
          <w14:textFill>
            <w14:solidFill>
              <w14:schemeClr w14:val="tx1"/>
            </w14:solidFill>
          </w14:textFill>
        </w:rPr>
        <w:t>合同编号：</w:t>
      </w:r>
    </w:p>
    <w:p>
      <w:pPr>
        <w:jc w:val="center"/>
        <w:rPr>
          <w:rFonts w:eastAsia="华文中宋"/>
          <w:b/>
          <w:color w:val="000000" w:themeColor="text1"/>
          <w:sz w:val="52"/>
          <w:szCs w:val="52"/>
          <w:highlight w:val="none"/>
          <w14:textFill>
            <w14:solidFill>
              <w14:schemeClr w14:val="tx1"/>
            </w14:solidFill>
          </w14:textFill>
        </w:rPr>
      </w:pPr>
    </w:p>
    <w:p>
      <w:pPr>
        <w:jc w:val="center"/>
        <w:rPr>
          <w:rFonts w:ascii="黑体" w:eastAsia="黑体"/>
          <w:color w:val="000000" w:themeColor="text1"/>
          <w:sz w:val="52"/>
          <w:szCs w:val="52"/>
          <w:highlight w:val="none"/>
          <w14:textFill>
            <w14:solidFill>
              <w14:schemeClr w14:val="tx1"/>
            </w14:solidFill>
          </w14:textFill>
        </w:rPr>
      </w:pPr>
      <w:r>
        <w:rPr>
          <w:rFonts w:hint="eastAsia" w:ascii="黑体" w:hAnsi="黑体" w:eastAsia="黑体" w:cs="黑体"/>
          <w:color w:val="000000" w:themeColor="text1"/>
          <w:sz w:val="52"/>
          <w:szCs w:val="52"/>
          <w:highlight w:val="none"/>
          <w14:textFill>
            <w14:solidFill>
              <w14:schemeClr w14:val="tx1"/>
            </w14:solidFill>
          </w14:textFill>
        </w:rPr>
        <w:t>云港城项目</w:t>
      </w:r>
      <w:r>
        <w:rPr>
          <w:rFonts w:ascii="黑体" w:eastAsia="黑体"/>
          <w:color w:val="000000" w:themeColor="text1"/>
          <w:sz w:val="52"/>
          <w:szCs w:val="52"/>
          <w:highlight w:val="none"/>
          <w14:textFill>
            <w14:solidFill>
              <w14:schemeClr w14:val="tx1"/>
            </w14:solidFill>
          </w14:textFill>
        </w:rPr>
        <w:t>9#</w:t>
      </w:r>
      <w:r>
        <w:rPr>
          <w:rFonts w:hint="eastAsia" w:ascii="黑体" w:eastAsia="黑体"/>
          <w:color w:val="000000" w:themeColor="text1"/>
          <w:sz w:val="52"/>
          <w:szCs w:val="52"/>
          <w:highlight w:val="none"/>
          <w14:textFill>
            <w14:solidFill>
              <w14:schemeClr w14:val="tx1"/>
            </w14:solidFill>
          </w14:textFill>
        </w:rPr>
        <w:t>地块</w:t>
      </w:r>
    </w:p>
    <w:p>
      <w:pPr>
        <w:jc w:val="center"/>
        <w:rPr>
          <w:rFonts w:eastAsia="华文中宋"/>
          <w:color w:val="000000" w:themeColor="text1"/>
          <w:sz w:val="52"/>
          <w:szCs w:val="52"/>
          <w:highlight w:val="none"/>
          <w14:textFill>
            <w14:solidFill>
              <w14:schemeClr w14:val="tx1"/>
            </w14:solidFill>
          </w14:textFill>
        </w:rPr>
      </w:pPr>
      <w:r>
        <w:rPr>
          <w:rFonts w:hint="eastAsia" w:ascii="黑体" w:eastAsia="黑体"/>
          <w:color w:val="000000" w:themeColor="text1"/>
          <w:sz w:val="52"/>
          <w:szCs w:val="52"/>
          <w:highlight w:val="none"/>
          <w14:textFill>
            <w14:solidFill>
              <w14:schemeClr w14:val="tx1"/>
            </w14:solidFill>
          </w14:textFill>
        </w:rPr>
        <w:t>永久用电工程施工专业承包合同</w:t>
      </w:r>
    </w:p>
    <w:p>
      <w:pPr>
        <w:ind w:right="-819" w:rightChars="-390"/>
        <w:jc w:val="center"/>
        <w:rPr>
          <w:rFonts w:eastAsia="华文中宋"/>
          <w:color w:val="000000" w:themeColor="text1"/>
          <w:sz w:val="52"/>
          <w:szCs w:val="52"/>
          <w:highlight w:val="none"/>
          <w14:textFill>
            <w14:solidFill>
              <w14:schemeClr w14:val="tx1"/>
            </w14:solidFill>
          </w14:textFill>
        </w:rPr>
      </w:pPr>
    </w:p>
    <w:p>
      <w:pPr>
        <w:jc w:val="center"/>
        <w:rPr>
          <w:rFonts w:eastAsia="楷体_GB2312"/>
          <w:b/>
          <w:color w:val="000000" w:themeColor="text1"/>
          <w:sz w:val="72"/>
          <w:szCs w:val="72"/>
          <w:highlight w:val="none"/>
          <w14:textFill>
            <w14:solidFill>
              <w14:schemeClr w14:val="tx1"/>
            </w14:solidFill>
          </w14:textFill>
        </w:rPr>
      </w:pPr>
    </w:p>
    <w:p>
      <w:pPr>
        <w:jc w:val="center"/>
        <w:rPr>
          <w:rFonts w:eastAsia="黑体"/>
          <w:b/>
          <w:color w:val="000000" w:themeColor="text1"/>
          <w:sz w:val="52"/>
          <w:szCs w:val="52"/>
          <w:highlight w:val="none"/>
          <w14:textFill>
            <w14:solidFill>
              <w14:schemeClr w14:val="tx1"/>
            </w14:solidFill>
          </w14:textFill>
        </w:rPr>
      </w:pPr>
    </w:p>
    <w:p>
      <w:pPr>
        <w:rPr>
          <w:b/>
          <w:color w:val="000000" w:themeColor="text1"/>
          <w:sz w:val="28"/>
          <w:szCs w:val="28"/>
          <w:highlight w:val="none"/>
          <w14:textFill>
            <w14:solidFill>
              <w14:schemeClr w14:val="tx1"/>
            </w14:solidFill>
          </w14:textFill>
        </w:rPr>
      </w:pPr>
    </w:p>
    <w:p>
      <w:pPr>
        <w:rPr>
          <w:b/>
          <w:color w:val="000000" w:themeColor="text1"/>
          <w:sz w:val="28"/>
          <w:szCs w:val="28"/>
          <w:highlight w:val="none"/>
          <w14:textFill>
            <w14:solidFill>
              <w14:schemeClr w14:val="tx1"/>
            </w14:solidFill>
          </w14:textFill>
        </w:rPr>
      </w:pPr>
    </w:p>
    <w:p>
      <w:pPr>
        <w:spacing w:line="360" w:lineRule="auto"/>
        <w:ind w:right="-819" w:rightChars="-390"/>
        <w:rPr>
          <w:rFonts w:ascii="黑体" w:hAnsi="宋体" w:eastAsia="黑体"/>
          <w:color w:val="000000" w:themeColor="text1"/>
          <w:sz w:val="32"/>
          <w:szCs w:val="32"/>
          <w:highlight w:val="none"/>
          <w:u w:val="single"/>
          <w14:textFill>
            <w14:solidFill>
              <w14:schemeClr w14:val="tx1"/>
            </w14:solidFill>
          </w14:textFill>
        </w:rPr>
      </w:pPr>
      <w:r>
        <w:rPr>
          <w:rFonts w:hint="eastAsia" w:ascii="黑体" w:hAnsi="宋体" w:eastAsia="黑体"/>
          <w:color w:val="000000" w:themeColor="text1"/>
          <w:sz w:val="32"/>
          <w:szCs w:val="32"/>
          <w:highlight w:val="none"/>
          <w14:textFill>
            <w14:solidFill>
              <w14:schemeClr w14:val="tx1"/>
            </w14:solidFill>
          </w14:textFill>
        </w:rPr>
        <w:t>工程名称：</w:t>
      </w:r>
      <w:r>
        <w:rPr>
          <w:rFonts w:hint="eastAsia" w:ascii="黑体" w:hAnsi="黑体" w:eastAsia="黑体" w:cs="黑体"/>
          <w:color w:val="000000" w:themeColor="text1"/>
          <w:sz w:val="32"/>
          <w:szCs w:val="32"/>
          <w:highlight w:val="none"/>
          <w:u w:val="single"/>
          <w14:textFill>
            <w14:solidFill>
              <w14:schemeClr w14:val="tx1"/>
            </w14:solidFill>
          </w14:textFill>
        </w:rPr>
        <w:t>云港城项目9#地块永久用电工程施工专业承包</w:t>
      </w:r>
      <w:r>
        <w:rPr>
          <w:rFonts w:hint="eastAsia" w:ascii="黑体" w:hAnsi="宋体" w:eastAsia="黑体"/>
          <w:color w:val="000000" w:themeColor="text1"/>
          <w:sz w:val="32"/>
          <w:szCs w:val="32"/>
          <w:highlight w:val="none"/>
          <w:u w:val="single"/>
          <w14:textFill>
            <w14:solidFill>
              <w14:schemeClr w14:val="tx1"/>
            </w14:solidFill>
          </w14:textFill>
        </w:rPr>
        <w:t xml:space="preserve"> </w:t>
      </w:r>
    </w:p>
    <w:p>
      <w:pPr>
        <w:spacing w:line="360" w:lineRule="auto"/>
        <w:rPr>
          <w:rFonts w:ascii="黑体" w:hAnsi="宋体" w:eastAsia="黑体"/>
          <w:color w:val="000000" w:themeColor="text1"/>
          <w:sz w:val="32"/>
          <w:szCs w:val="32"/>
          <w:highlight w:val="none"/>
          <w:u w:val="single"/>
          <w14:textFill>
            <w14:solidFill>
              <w14:schemeClr w14:val="tx1"/>
            </w14:solidFill>
          </w14:textFill>
        </w:rPr>
      </w:pPr>
      <w:r>
        <w:rPr>
          <w:rFonts w:hint="eastAsia" w:ascii="黑体" w:hAnsi="宋体" w:eastAsia="黑体"/>
          <w:color w:val="000000" w:themeColor="text1"/>
          <w:sz w:val="32"/>
          <w:szCs w:val="32"/>
          <w:highlight w:val="none"/>
          <w14:textFill>
            <w14:solidFill>
              <w14:schemeClr w14:val="tx1"/>
            </w14:solidFill>
          </w14:textFill>
        </w:rPr>
        <w:t>工程地点：</w:t>
      </w:r>
      <w:r>
        <w:rPr>
          <w:rFonts w:hint="eastAsia" w:ascii="黑体" w:hAnsi="宋体" w:eastAsia="黑体"/>
          <w:color w:val="000000" w:themeColor="text1"/>
          <w:sz w:val="32"/>
          <w:szCs w:val="32"/>
          <w:highlight w:val="none"/>
          <w:u w:val="single"/>
          <w14:textFill>
            <w14:solidFill>
              <w14:schemeClr w14:val="tx1"/>
            </w14:solidFill>
          </w14:textFill>
        </w:rPr>
        <w:t>广州市白云区云城西路与云城南四路交叉路口</w:t>
      </w:r>
    </w:p>
    <w:p>
      <w:pPr>
        <w:adjustRightInd w:val="0"/>
        <w:spacing w:line="480" w:lineRule="auto"/>
        <w:textAlignment w:val="baseline"/>
        <w:rPr>
          <w:rFonts w:ascii="黑体" w:hAnsi="仿宋" w:eastAsia="黑体"/>
          <w:b/>
          <w:color w:val="000000" w:themeColor="text1"/>
          <w:kern w:val="0"/>
          <w:sz w:val="32"/>
          <w:szCs w:val="32"/>
          <w:highlight w:val="none"/>
          <w14:textFill>
            <w14:solidFill>
              <w14:schemeClr w14:val="tx1"/>
            </w14:solidFill>
          </w14:textFill>
        </w:rPr>
      </w:pPr>
      <w:r>
        <w:rPr>
          <w:rFonts w:hint="eastAsia" w:ascii="黑体" w:hAnsi="仿宋" w:eastAsia="黑体"/>
          <w:color w:val="000000" w:themeColor="text1"/>
          <w:kern w:val="0"/>
          <w:sz w:val="32"/>
          <w:szCs w:val="32"/>
          <w:highlight w:val="none"/>
          <w14:textFill>
            <w14:solidFill>
              <w14:schemeClr w14:val="tx1"/>
            </w14:solidFill>
          </w14:textFill>
        </w:rPr>
        <w:t>承包人：</w:t>
      </w:r>
      <w:r>
        <w:rPr>
          <w:rFonts w:hint="eastAsia" w:ascii="黑体" w:hAnsi="仿宋" w:eastAsia="黑体"/>
          <w:color w:val="000000" w:themeColor="text1"/>
          <w:kern w:val="0"/>
          <w:sz w:val="32"/>
          <w:szCs w:val="32"/>
          <w:highlight w:val="none"/>
          <w:u w:val="single"/>
          <w14:textFill>
            <w14:solidFill>
              <w14:schemeClr w14:val="tx1"/>
            </w14:solidFill>
          </w14:textFill>
        </w:rPr>
        <w:t>中国建筑第二工程局有限公司</w:t>
      </w:r>
    </w:p>
    <w:p>
      <w:pPr>
        <w:adjustRightInd w:val="0"/>
        <w:spacing w:line="480" w:lineRule="auto"/>
        <w:textAlignment w:val="baseline"/>
        <w:rPr>
          <w:rFonts w:ascii="黑体" w:hAnsi="仿宋" w:eastAsia="黑体"/>
          <w:color w:val="000000" w:themeColor="text1"/>
          <w:kern w:val="0"/>
          <w:sz w:val="32"/>
          <w:szCs w:val="32"/>
          <w:highlight w:val="none"/>
          <w14:textFill>
            <w14:solidFill>
              <w14:schemeClr w14:val="tx1"/>
            </w14:solidFill>
          </w14:textFill>
        </w:rPr>
      </w:pPr>
      <w:r>
        <w:rPr>
          <w:rFonts w:hint="eastAsia" w:ascii="黑体" w:hAnsi="仿宋" w:eastAsia="黑体"/>
          <w:color w:val="000000" w:themeColor="text1"/>
          <w:kern w:val="0"/>
          <w:sz w:val="32"/>
          <w:szCs w:val="32"/>
          <w:highlight w:val="none"/>
          <w14:textFill>
            <w14:solidFill>
              <w14:schemeClr w14:val="tx1"/>
            </w14:solidFill>
          </w14:textFill>
        </w:rPr>
        <w:t>分包人：</w:t>
      </w:r>
      <w:r>
        <w:rPr>
          <w:rFonts w:hint="eastAsia" w:ascii="黑体" w:hAnsi="仿宋" w:eastAsia="黑体"/>
          <w:color w:val="000000" w:themeColor="text1"/>
          <w:kern w:val="0"/>
          <w:sz w:val="32"/>
          <w:szCs w:val="32"/>
          <w:highlight w:val="none"/>
          <w:u w:val="single"/>
          <w14:textFill>
            <w14:solidFill>
              <w14:schemeClr w14:val="tx1"/>
            </w14:solidFill>
          </w14:textFill>
        </w:rPr>
        <w:t xml:space="preserve">                          </w:t>
      </w:r>
    </w:p>
    <w:p>
      <w:pPr>
        <w:rPr>
          <w:b/>
          <w:color w:val="000000" w:themeColor="text1"/>
          <w:sz w:val="28"/>
          <w:szCs w:val="28"/>
          <w:highlight w:val="none"/>
          <w14:textFill>
            <w14:solidFill>
              <w14:schemeClr w14:val="tx1"/>
            </w14:solidFill>
          </w14:textFill>
        </w:rPr>
      </w:pPr>
    </w:p>
    <w:p>
      <w:pPr>
        <w:pStyle w:val="68"/>
        <w:jc w:val="both"/>
        <w:outlineLvl w:val="9"/>
        <w:rPr>
          <w:color w:val="000000" w:themeColor="text1"/>
          <w:highlight w:val="none"/>
          <w14:textFill>
            <w14:solidFill>
              <w14:schemeClr w14:val="tx1"/>
            </w14:solidFill>
          </w14:textFill>
        </w:rPr>
        <w:sectPr>
          <w:footerReference r:id="rId4" w:type="first"/>
          <w:footerReference r:id="rId3" w:type="default"/>
          <w:pgSz w:w="11906" w:h="16838"/>
          <w:pgMar w:top="1418" w:right="1555" w:bottom="1418" w:left="1531" w:header="851" w:footer="992" w:gutter="0"/>
          <w:pgNumType w:start="1"/>
          <w:cols w:space="720" w:num="1"/>
          <w:titlePg/>
          <w:docGrid w:type="lines" w:linePitch="312" w:charSpace="0"/>
        </w:sectPr>
      </w:pPr>
    </w:p>
    <w:p>
      <w:pPr>
        <w:pStyle w:val="68"/>
        <w:spacing w:before="0" w:after="0" w:line="360" w:lineRule="auto"/>
        <w:outlineLvl w:val="9"/>
        <w:rPr>
          <w:color w:val="000000" w:themeColor="text1"/>
          <w:sz w:val="30"/>
          <w:szCs w:val="30"/>
          <w:highlight w:val="none"/>
          <w:lang w:val="zh-CN"/>
          <w14:textFill>
            <w14:solidFill>
              <w14:schemeClr w14:val="tx1"/>
            </w14:solidFill>
          </w14:textFill>
        </w:rPr>
      </w:pPr>
      <w:bookmarkStart w:id="0" w:name="_Toc2368"/>
      <w:bookmarkStart w:id="1" w:name="_Toc31549"/>
      <w:bookmarkStart w:id="2" w:name="_Toc17580"/>
      <w:bookmarkStart w:id="3" w:name="_Toc19479"/>
      <w:r>
        <w:rPr>
          <w:rFonts w:hint="eastAsia"/>
          <w:color w:val="000000" w:themeColor="text1"/>
          <w:sz w:val="30"/>
          <w:szCs w:val="30"/>
          <w:highlight w:val="none"/>
          <w:lang w:val="zh-CN"/>
          <w14:textFill>
            <w14:solidFill>
              <w14:schemeClr w14:val="tx1"/>
            </w14:solidFill>
          </w14:textFill>
        </w:rPr>
        <w:t>总</w:t>
      </w:r>
      <w:r>
        <w:rPr>
          <w:color w:val="000000" w:themeColor="text1"/>
          <w:sz w:val="30"/>
          <w:szCs w:val="30"/>
          <w:highlight w:val="none"/>
          <w:lang w:val="zh-CN"/>
          <w14:textFill>
            <w14:solidFill>
              <w14:schemeClr w14:val="tx1"/>
            </w14:solidFill>
          </w14:textFill>
        </w:rPr>
        <w:t>目录</w:t>
      </w:r>
      <w:bookmarkEnd w:id="0"/>
      <w:bookmarkEnd w:id="1"/>
      <w:bookmarkEnd w:id="2"/>
      <w:bookmarkEnd w:id="3"/>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TOC \o "1-1" \h \z \u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"_Toc118446905"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第一部分</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协议书</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_Toc118446905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3</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"_Toc118446906"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第二部分</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通用条款</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_Toc118446906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8</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"_Toc118446907"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第三部分</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专用条款</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_Toc118446907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44</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"_Toc118446908"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1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合同范围及边界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_Toc118446908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96</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"_Toc118446909"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2</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云港城项目高低压变配电系统技术规格书（另册）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_Toc118446909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98</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"_Toc118446910"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3</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履约保函（样式）</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_Toc118446910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99</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"_Toc118446911"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4</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云港城项目9#、11#地块永久用电工程材料设备品牌推荐表（另册）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_Toc118446911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100</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"_Toc118446912"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5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工程质量保修书</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_Toc118446912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101</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"_Toc118446913"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6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总承包管理与配合服务管理办法</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_Toc118446913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103</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"_Toc118446914"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7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工程建设项目廉政责任书</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_Toc118446914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121</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"_Toc118446915"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8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已标价工程量清单（另册）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_Toc118446915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124</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"_Toc118446916"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9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项目工程施工现场管理办法</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_Toc118446916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125</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"_Toc118446917"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 xml:space="preserve">10 </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智慧工地建设要求</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_Toc118446917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136</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"_Toc118446918"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11</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绿色施工安全防护措施标准化图册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_Toc118446918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142</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"_Toc118446919"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12</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粤海置地施工环境</w:t>
      </w:r>
      <w:r>
        <w:rPr>
          <w:rStyle w:val="44"/>
          <w:rFonts w:asciiTheme="minorEastAsia" w:hAnsiTheme="minorEastAsia" w:eastAsiaTheme="minorEastAsia"/>
          <w:b w:val="0"/>
          <w:color w:val="000000" w:themeColor="text1"/>
          <w:sz w:val="21"/>
          <w:szCs w:val="21"/>
          <w:highlight w:val="none"/>
          <w14:textFill>
            <w14:solidFill>
              <w14:schemeClr w14:val="tx1"/>
            </w14:solidFill>
          </w14:textFill>
        </w:rPr>
        <w:t>VI</w:t>
      </w:r>
      <w:r>
        <w:rPr>
          <w:rStyle w:val="44"/>
          <w:rFonts w:hint="eastAsia" w:asciiTheme="minorEastAsia" w:hAnsiTheme="minorEastAsia" w:eastAsiaTheme="minorEastAsia"/>
          <w:b w:val="0"/>
          <w:color w:val="000000" w:themeColor="text1"/>
          <w:sz w:val="21"/>
          <w:szCs w:val="21"/>
          <w:highlight w:val="none"/>
          <w14:textFill>
            <w14:solidFill>
              <w14:schemeClr w14:val="tx1"/>
            </w14:solidFill>
          </w14:textFill>
        </w:rPr>
        <w:t>展示图</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_Toc118446919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176</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"_Toc118446920"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kern w:val="44"/>
          <w:sz w:val="21"/>
          <w:szCs w:val="21"/>
          <w:highlight w:val="none"/>
          <w14:textFill>
            <w14:solidFill>
              <w14:schemeClr w14:val="tx1"/>
            </w14:solidFill>
          </w14:textFill>
        </w:rPr>
        <w:t xml:space="preserve">13 </w:t>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图纸（另册）</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_Toc118446920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179</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"_Toc118446921"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kern w:val="44"/>
          <w:sz w:val="21"/>
          <w:szCs w:val="21"/>
          <w:highlight w:val="none"/>
          <w14:textFill>
            <w14:solidFill>
              <w14:schemeClr w14:val="tx1"/>
            </w14:solidFill>
          </w14:textFill>
        </w:rPr>
        <w:t>14</w:t>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工程建设资金拨付管理办法及实施细则</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_Toc118446921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180</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"_Toc118446922"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kern w:val="44"/>
          <w:sz w:val="21"/>
          <w:szCs w:val="21"/>
          <w:highlight w:val="none"/>
          <w14:textFill>
            <w14:solidFill>
              <w14:schemeClr w14:val="tx1"/>
            </w14:solidFill>
          </w14:textFill>
        </w:rPr>
        <w:t xml:space="preserve">15 </w:t>
      </w:r>
      <w:r>
        <w:rPr>
          <w:rStyle w:val="44"/>
          <w:rFonts w:hint="eastAsia" w:asciiTheme="minorEastAsia" w:hAnsiTheme="minorEastAsia" w:eastAsiaTheme="minorEastAsia"/>
          <w:b w:val="0"/>
          <w:bCs/>
          <w:color w:val="000000" w:themeColor="text1"/>
          <w:kern w:val="44"/>
          <w:sz w:val="21"/>
          <w:szCs w:val="21"/>
          <w:highlight w:val="none"/>
          <w14:textFill>
            <w14:solidFill>
              <w14:schemeClr w14:val="tx1"/>
            </w14:solidFill>
          </w14:textFill>
        </w:rPr>
        <w:t>安全管理协议书</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_Toc118446922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182</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"_Toc118446923"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sz w:val="21"/>
          <w:szCs w:val="21"/>
          <w:highlight w:val="none"/>
          <w14:textFill>
            <w14:solidFill>
              <w14:schemeClr w14:val="tx1"/>
            </w14:solidFill>
          </w14:textFill>
        </w:rPr>
        <w:t>16</w:t>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《安全管理专篇》</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_Toc118446923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185</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"_Toc118446925"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sz w:val="21"/>
          <w:szCs w:val="21"/>
          <w:highlight w:val="none"/>
          <w14:textFill>
            <w14:solidFill>
              <w14:schemeClr w14:val="tx1"/>
            </w14:solidFill>
          </w14:textFill>
        </w:rPr>
        <w:t xml:space="preserve">17 </w:t>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项目主要管理人员表（按投标文件）</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_Toc118446925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202</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"_Toc118446926"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sz w:val="21"/>
          <w:szCs w:val="21"/>
          <w:highlight w:val="none"/>
          <w14:textFill>
            <w14:solidFill>
              <w14:schemeClr w14:val="tx1"/>
            </w14:solidFill>
          </w14:textFill>
        </w:rPr>
        <w:t xml:space="preserve">18 </w:t>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主要施工机械设备表（按投标文件）</w:t>
      </w:r>
      <w:r>
        <w:rPr>
          <w:rFonts w:asciiTheme="minorEastAsia" w:hAnsiTheme="minorEastAsia" w:eastAsiaTheme="minorEastAsia"/>
          <w:b w:val="0"/>
          <w:color w:val="000000" w:themeColor="text1"/>
          <w:sz w:val="21"/>
          <w:szCs w:val="21"/>
          <w:highlight w:val="none"/>
          <w14:textFill>
            <w14:solidFill>
              <w14:schemeClr w14:val="tx1"/>
            </w14:solidFill>
          </w14:textFill>
        </w:rPr>
        <w:tab/>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_Toc118446926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202</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stheme="minorBidi"/>
          <w:b w:val="0"/>
          <w:color w:val="000000" w:themeColor="text1"/>
          <w:kern w:val="2"/>
          <w:sz w:val="21"/>
          <w:szCs w:val="21"/>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"_Toc118446927" </w:instrText>
      </w:r>
      <w:r>
        <w:rPr>
          <w:color w:val="000000" w:themeColor="text1"/>
          <w:highlight w:val="none"/>
          <w14:textFill>
            <w14:solidFill>
              <w14:schemeClr w14:val="tx1"/>
            </w14:solidFill>
          </w14:textFill>
        </w:rPr>
        <w:fldChar w:fldCharType="separate"/>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附件</w:t>
      </w:r>
      <w:r>
        <w:rPr>
          <w:rStyle w:val="44"/>
          <w:rFonts w:asciiTheme="minorEastAsia" w:hAnsiTheme="minorEastAsia" w:eastAsiaTheme="minorEastAsia"/>
          <w:b w:val="0"/>
          <w:bCs/>
          <w:color w:val="000000" w:themeColor="text1"/>
          <w:sz w:val="21"/>
          <w:szCs w:val="21"/>
          <w:highlight w:val="none"/>
          <w14:textFill>
            <w14:solidFill>
              <w14:schemeClr w14:val="tx1"/>
            </w14:solidFill>
          </w14:textFill>
        </w:rPr>
        <w:t>19</w:t>
      </w:r>
      <w:r>
        <w:rPr>
          <w:rStyle w:val="44"/>
          <w:rFonts w:hint="eastAsia" w:asciiTheme="minorEastAsia" w:hAnsiTheme="minorEastAsia" w:eastAsiaTheme="minorEastAsia"/>
          <w:b w:val="0"/>
          <w:bCs/>
          <w:color w:val="000000" w:themeColor="text1"/>
          <w:sz w:val="21"/>
          <w:szCs w:val="21"/>
          <w:highlight w:val="none"/>
          <w14:textFill>
            <w14:solidFill>
              <w14:schemeClr w14:val="tx1"/>
            </w14:solidFill>
          </w14:textFill>
        </w:rPr>
        <w:t>安全生产不良行为扣分条款</w:t>
      </w:r>
      <w:r>
        <w:rPr>
          <w:rFonts w:asciiTheme="minorEastAsia" w:hAnsiTheme="minorEastAsia" w:eastAsiaTheme="minorEastAsia"/>
          <w:b w:val="0"/>
          <w:color w:val="000000" w:themeColor="text1"/>
          <w:sz w:val="21"/>
          <w:szCs w:val="21"/>
          <w:highlight w:val="none"/>
          <w14:textFill>
            <w14:solidFill>
              <w14:schemeClr w14:val="tx1"/>
            </w14:solidFill>
          </w14:textFill>
        </w:rPr>
        <w:tab/>
      </w:r>
      <w:bookmarkStart w:id="1176" w:name="_GoBack"/>
      <w:bookmarkEnd w:id="1176"/>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begin"/>
      </w:r>
      <w:r>
        <w:rPr>
          <w:rFonts w:asciiTheme="minorEastAsia" w:hAnsiTheme="minorEastAsia" w:eastAsiaTheme="minorEastAsia"/>
          <w:b w:val="0"/>
          <w:color w:val="000000" w:themeColor="text1"/>
          <w:sz w:val="21"/>
          <w:szCs w:val="21"/>
          <w:highlight w:val="none"/>
          <w14:textFill>
            <w14:solidFill>
              <w14:schemeClr w14:val="tx1"/>
            </w14:solidFill>
          </w14:textFill>
        </w:rPr>
        <w:instrText xml:space="preserve"> PAGEREF _Toc118446927 \h </w:instrTex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separate"/>
      </w:r>
      <w:r>
        <w:rPr>
          <w:rFonts w:asciiTheme="minorEastAsia" w:hAnsiTheme="minorEastAsia" w:eastAsiaTheme="minorEastAsia"/>
          <w:b w:val="0"/>
          <w:color w:val="000000" w:themeColor="text1"/>
          <w:sz w:val="21"/>
          <w:szCs w:val="21"/>
          <w:highlight w:val="none"/>
          <w14:textFill>
            <w14:solidFill>
              <w14:schemeClr w14:val="tx1"/>
            </w14:solidFill>
          </w14:textFill>
        </w:rPr>
        <w:t>203</w:t>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p>
    <w:p>
      <w:pPr>
        <w:pStyle w:val="26"/>
        <w:spacing w:line="360" w:lineRule="auto"/>
        <w:rPr>
          <w:rFonts w:asciiTheme="minorEastAsia" w:hAnsiTheme="minorEastAsia" w:eastAsiaTheme="minorEastAsia"/>
          <w:color w:val="000000" w:themeColor="text1"/>
          <w:sz w:val="24"/>
          <w:szCs w:val="24"/>
          <w:highlight w:val="none"/>
          <w14:textFill>
            <w14:solidFill>
              <w14:schemeClr w14:val="tx1"/>
            </w14:solidFill>
          </w14:textFill>
        </w:rPr>
        <w:sectPr>
          <w:footerReference r:id="rId5" w:type="first"/>
          <w:pgSz w:w="11906" w:h="16838"/>
          <w:pgMar w:top="1418" w:right="1555" w:bottom="1418" w:left="1531" w:header="851" w:footer="992" w:gutter="0"/>
          <w:cols w:space="720" w:num="1"/>
          <w:titlePg/>
          <w:docGrid w:type="lines" w:linePitch="312" w:charSpace="0"/>
        </w:sectPr>
      </w:pPr>
      <w:r>
        <w:rPr>
          <w:rFonts w:asciiTheme="minorEastAsia" w:hAnsiTheme="minorEastAsia" w:eastAsiaTheme="minorEastAsia"/>
          <w:b w:val="0"/>
          <w:color w:val="000000" w:themeColor="text1"/>
          <w:sz w:val="21"/>
          <w:szCs w:val="21"/>
          <w:highlight w:val="none"/>
          <w14:textFill>
            <w14:solidFill>
              <w14:schemeClr w14:val="tx1"/>
            </w14:solidFill>
          </w14:textFill>
        </w:rPr>
        <w:fldChar w:fldCharType="end"/>
      </w:r>
      <w:bookmarkStart w:id="4" w:name="_Toc351203480"/>
    </w:p>
    <w:p>
      <w:pPr>
        <w:pStyle w:val="68"/>
        <w:rPr>
          <w:rFonts w:ascii="Times New Roman" w:hAnsi="Times New Roman"/>
          <w:color w:val="000000" w:themeColor="text1"/>
          <w:highlight w:val="none"/>
          <w14:textFill>
            <w14:solidFill>
              <w14:schemeClr w14:val="tx1"/>
            </w14:solidFill>
          </w14:textFill>
        </w:rPr>
      </w:pPr>
      <w:bookmarkStart w:id="5" w:name="_Toc24858"/>
      <w:bookmarkStart w:id="6" w:name="_Toc44492398"/>
      <w:bookmarkStart w:id="7" w:name="_Toc402450430"/>
      <w:bookmarkStart w:id="8" w:name="_Toc118446905"/>
      <w:bookmarkStart w:id="9" w:name="_Toc31614"/>
      <w:bookmarkStart w:id="10" w:name="_Toc7445"/>
      <w:bookmarkStart w:id="11" w:name="_Toc44227948"/>
      <w:bookmarkStart w:id="12" w:name="_Toc40186509"/>
      <w:r>
        <w:rPr>
          <w:color w:val="000000" w:themeColor="text1"/>
          <w:highlight w:val="none"/>
          <w14:textFill>
            <w14:solidFill>
              <w14:schemeClr w14:val="tx1"/>
            </w14:solidFill>
          </w14:textFill>
        </w:rPr>
        <w:t>第一部分 协议书</w:t>
      </w:r>
      <w:bookmarkEnd w:id="4"/>
      <w:bookmarkEnd w:id="5"/>
      <w:bookmarkEnd w:id="6"/>
      <w:bookmarkEnd w:id="7"/>
      <w:bookmarkEnd w:id="8"/>
      <w:bookmarkEnd w:id="9"/>
      <w:bookmarkEnd w:id="10"/>
      <w:bookmarkEnd w:id="11"/>
      <w:bookmarkEnd w:id="12"/>
    </w:p>
    <w:p>
      <w:pPr>
        <w:spacing w:line="360" w:lineRule="auto"/>
        <w:rPr>
          <w:rFonts w:eastAsia="仿宋_GB2312"/>
          <w:b/>
          <w:color w:val="000000" w:themeColor="text1"/>
          <w:sz w:val="28"/>
          <w:szCs w:val="30"/>
          <w:highlight w:val="none"/>
          <w:u w:val="single"/>
          <w14:textFill>
            <w14:solidFill>
              <w14:schemeClr w14:val="tx1"/>
            </w14:solidFill>
          </w14:textFill>
        </w:rPr>
      </w:pPr>
      <w:r>
        <w:rPr>
          <w:rFonts w:hint="eastAsia" w:eastAsia="仿宋_GB2312"/>
          <w:b/>
          <w:color w:val="000000" w:themeColor="text1"/>
          <w:sz w:val="28"/>
          <w:szCs w:val="30"/>
          <w:highlight w:val="none"/>
          <w14:textFill>
            <w14:solidFill>
              <w14:schemeClr w14:val="tx1"/>
            </w14:solidFill>
          </w14:textFill>
        </w:rPr>
        <w:t>承包人</w:t>
      </w:r>
      <w:r>
        <w:rPr>
          <w:rFonts w:eastAsia="仿宋_GB2312"/>
          <w:b/>
          <w:color w:val="000000" w:themeColor="text1"/>
          <w:sz w:val="28"/>
          <w:szCs w:val="30"/>
          <w:highlight w:val="none"/>
          <w14:textFill>
            <w14:solidFill>
              <w14:schemeClr w14:val="tx1"/>
            </w14:solidFill>
          </w14:textFill>
        </w:rPr>
        <w:t>：</w:t>
      </w:r>
      <w:r>
        <w:rPr>
          <w:rFonts w:hint="eastAsia" w:eastAsia="仿宋_GB2312"/>
          <w:b/>
          <w:color w:val="000000" w:themeColor="text1"/>
          <w:sz w:val="28"/>
          <w:szCs w:val="30"/>
          <w:highlight w:val="none"/>
          <w:u w:val="single"/>
          <w14:textFill>
            <w14:solidFill>
              <w14:schemeClr w14:val="tx1"/>
            </w14:solidFill>
          </w14:textFill>
        </w:rPr>
        <w:t xml:space="preserve">中国建筑第二工程局有限公司   </w:t>
      </w:r>
    </w:p>
    <w:p>
      <w:pPr>
        <w:spacing w:line="360" w:lineRule="auto"/>
        <w:rPr>
          <w:rFonts w:eastAsia="仿宋_GB2312"/>
          <w:b/>
          <w:color w:val="000000" w:themeColor="text1"/>
          <w:sz w:val="28"/>
          <w:szCs w:val="30"/>
          <w:highlight w:val="none"/>
          <w:u w:val="single"/>
          <w14:textFill>
            <w14:solidFill>
              <w14:schemeClr w14:val="tx1"/>
            </w14:solidFill>
          </w14:textFill>
        </w:rPr>
      </w:pPr>
      <w:r>
        <w:rPr>
          <w:rFonts w:hint="eastAsia" w:eastAsia="仿宋_GB2312"/>
          <w:b/>
          <w:color w:val="000000" w:themeColor="text1"/>
          <w:sz w:val="28"/>
          <w:szCs w:val="30"/>
          <w:highlight w:val="none"/>
          <w14:textFill>
            <w14:solidFill>
              <w14:schemeClr w14:val="tx1"/>
            </w14:solidFill>
          </w14:textFill>
        </w:rPr>
        <w:t>分</w:t>
      </w:r>
      <w:r>
        <w:rPr>
          <w:rFonts w:eastAsia="仿宋_GB2312"/>
          <w:b/>
          <w:color w:val="000000" w:themeColor="text1"/>
          <w:sz w:val="28"/>
          <w:szCs w:val="30"/>
          <w:highlight w:val="none"/>
          <w14:textFill>
            <w14:solidFill>
              <w14:schemeClr w14:val="tx1"/>
            </w14:solidFill>
          </w14:textFill>
        </w:rPr>
        <w:t>包人：</w:t>
      </w:r>
      <w:r>
        <w:rPr>
          <w:rFonts w:eastAsia="仿宋_GB2312"/>
          <w:b/>
          <w:color w:val="000000" w:themeColor="text1"/>
          <w:sz w:val="28"/>
          <w:szCs w:val="30"/>
          <w:highlight w:val="none"/>
          <w:u w:val="single"/>
          <w14:textFill>
            <w14:solidFill>
              <w14:schemeClr w14:val="tx1"/>
            </w14:solidFill>
          </w14:textFill>
        </w:rPr>
        <w:t xml:space="preserve">                      </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依照《中华人民共和国民法典》《中华人民共和国建筑法》及其他有关法律、行政法规，遵循平等、自愿、公平和诚实信用的原则，鉴于广东粤海置地发展有限公司（以下简称“发包人”）与承包人签订的《粤海•云港城项目9#地块工程施工总承包合同》（以下简称“总承包合同”），承包人和分包人双方就</w:t>
      </w:r>
      <w:r>
        <w:rPr>
          <w:rFonts w:hint="eastAsia" w:ascii="宋体" w:hAnsi="宋体" w:eastAsia="宋体" w:cs="宋体"/>
          <w:color w:val="000000" w:themeColor="text1"/>
          <w:highlight w:val="none"/>
          <w:u w:val="single"/>
          <w14:textFill>
            <w14:solidFill>
              <w14:schemeClr w14:val="tx1"/>
            </w14:solidFill>
          </w14:textFill>
        </w:rPr>
        <w:t>云港城项目9#地块永久用电工程施工专业承包工程</w:t>
      </w:r>
      <w:r>
        <w:rPr>
          <w:rFonts w:hint="eastAsia" w:ascii="宋体" w:hAnsi="宋体" w:eastAsia="宋体" w:cs="宋体"/>
          <w:color w:val="000000" w:themeColor="text1"/>
          <w:highlight w:val="none"/>
          <w14:textFill>
            <w14:solidFill>
              <w14:schemeClr w14:val="tx1"/>
            </w14:solidFill>
          </w14:textFill>
        </w:rPr>
        <w:t>施工事项协商一致，订立本合同。</w:t>
      </w:r>
    </w:p>
    <w:p>
      <w:pPr>
        <w:pStyle w:val="73"/>
        <w:rPr>
          <w:color w:val="000000" w:themeColor="text1"/>
          <w:highlight w:val="none"/>
          <w14:textFill>
            <w14:solidFill>
              <w14:schemeClr w14:val="tx1"/>
            </w14:solidFill>
          </w14:textFill>
        </w:rPr>
      </w:pPr>
      <w:bookmarkStart w:id="13" w:name="_Toc402450431"/>
      <w:bookmarkStart w:id="14" w:name="_Toc30191"/>
      <w:bookmarkStart w:id="15" w:name="_Toc31787"/>
      <w:bookmarkStart w:id="16" w:name="_Toc351203481"/>
      <w:bookmarkStart w:id="17" w:name="_Toc44492399"/>
      <w:r>
        <w:rPr>
          <w:rFonts w:hint="eastAsia"/>
          <w:color w:val="000000" w:themeColor="text1"/>
          <w:highlight w:val="none"/>
          <w14:textFill>
            <w14:solidFill>
              <w14:schemeClr w14:val="tx1"/>
            </w14:solidFill>
          </w14:textFill>
        </w:rPr>
        <w:t xml:space="preserve">1. </w:t>
      </w:r>
      <w:r>
        <w:rPr>
          <w:color w:val="000000" w:themeColor="text1"/>
          <w:highlight w:val="none"/>
          <w14:textFill>
            <w14:solidFill>
              <w14:schemeClr w14:val="tx1"/>
            </w14:solidFill>
          </w14:textFill>
        </w:rPr>
        <w:t>工程概况</w:t>
      </w:r>
      <w:bookmarkEnd w:id="13"/>
      <w:bookmarkEnd w:id="14"/>
      <w:bookmarkEnd w:id="15"/>
      <w:bookmarkEnd w:id="16"/>
      <w:bookmarkEnd w:id="17"/>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bCs/>
          <w:color w:val="000000" w:themeColor="text1"/>
          <w:highlight w:val="none"/>
          <w14:textFill>
            <w14:solidFill>
              <w14:schemeClr w14:val="tx1"/>
            </w14:solidFill>
          </w14:textFill>
        </w:rPr>
        <w:t>1.1.工程名称</w:t>
      </w:r>
      <w:r>
        <w:rPr>
          <w:rFonts w:hint="eastAsia" w:ascii="宋体" w:hAnsi="宋体" w:eastAsia="宋体" w:cs="宋体"/>
          <w:color w:val="000000" w:themeColor="text1"/>
          <w:highlight w:val="none"/>
          <w14:textFill>
            <w14:solidFill>
              <w14:schemeClr w14:val="tx1"/>
            </w14:solidFill>
          </w14:textFill>
        </w:rPr>
        <w:t>：</w:t>
      </w:r>
      <w:r>
        <w:rPr>
          <w:rFonts w:hint="eastAsia" w:ascii="宋体" w:hAnsi="宋体" w:eastAsia="宋体" w:cs="宋体"/>
          <w:color w:val="000000" w:themeColor="text1"/>
          <w:highlight w:val="none"/>
          <w:u w:val="single"/>
          <w14:textFill>
            <w14:solidFill>
              <w14:schemeClr w14:val="tx1"/>
            </w14:solidFill>
          </w14:textFill>
        </w:rPr>
        <w:t xml:space="preserve">云港城项目9#地块永久用电工程施工专业承包工程（以下简称“本工程”） </w:t>
      </w:r>
    </w:p>
    <w:p>
      <w:pPr>
        <w:pStyle w:val="52"/>
        <w:ind w:firstLine="420"/>
        <w:rPr>
          <w:rFonts w:ascii="宋体" w:hAnsi="宋体" w:eastAsia="宋体" w:cs="宋体"/>
          <w:bCs/>
          <w:color w:val="000000" w:themeColor="text1"/>
          <w:highlight w:val="none"/>
          <w14:textFill>
            <w14:solidFill>
              <w14:schemeClr w14:val="tx1"/>
            </w14:solidFill>
          </w14:textFill>
        </w:rPr>
      </w:pPr>
      <w:r>
        <w:rPr>
          <w:rFonts w:hint="eastAsia" w:ascii="宋体" w:hAnsi="宋体" w:eastAsia="宋体" w:cs="宋体"/>
          <w:bCs/>
          <w:color w:val="000000" w:themeColor="text1"/>
          <w:highlight w:val="none"/>
          <w14:textFill>
            <w14:solidFill>
              <w14:schemeClr w14:val="tx1"/>
            </w14:solidFill>
          </w14:textFill>
        </w:rPr>
        <w:t>1.2.工程地点：</w:t>
      </w:r>
      <w:r>
        <w:rPr>
          <w:rFonts w:hint="eastAsia" w:ascii="宋体" w:hAnsi="宋体" w:eastAsia="宋体" w:cs="宋体"/>
          <w:color w:val="000000" w:themeColor="text1"/>
          <w:highlight w:val="none"/>
          <w:u w:val="single"/>
          <w14:textFill>
            <w14:solidFill>
              <w14:schemeClr w14:val="tx1"/>
            </w14:solidFill>
          </w14:textFill>
        </w:rPr>
        <w:t>广州市白云区云城西路与云城南四路交叉路口</w:t>
      </w:r>
    </w:p>
    <w:p>
      <w:pPr>
        <w:spacing w:line="360" w:lineRule="auto"/>
        <w:ind w:firstLine="420" w:firstLineChars="200"/>
        <w:rPr>
          <w:color w:val="000000" w:themeColor="text1"/>
          <w:sz w:val="28"/>
          <w:szCs w:val="28"/>
          <w:highlight w:val="none"/>
          <w14:textFill>
            <w14:solidFill>
              <w14:schemeClr w14:val="tx1"/>
            </w14:solidFill>
          </w14:textFill>
        </w:rPr>
      </w:pPr>
      <w:r>
        <w:rPr>
          <w:rFonts w:hint="eastAsia" w:ascii="宋体" w:hAnsi="宋体" w:cs="宋体"/>
          <w:bCs/>
          <w:color w:val="000000" w:themeColor="text1"/>
          <w:highlight w:val="none"/>
          <w14:textFill>
            <w14:solidFill>
              <w14:schemeClr w14:val="tx1"/>
            </w14:solidFill>
          </w14:textFill>
        </w:rPr>
        <w:t>1.3.工程概况：</w:t>
      </w:r>
    </w:p>
    <w:p>
      <w:pPr>
        <w:adjustRightInd w:val="0"/>
        <w:snapToGrid w:val="0"/>
        <w:spacing w:line="360" w:lineRule="auto"/>
        <w:ind w:firstLine="420" w:firstLineChars="20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云港城9#地块位于云城西路与齐心路交叉口西南侧，9#地块占地面积约31095㎡，总建筑面积约160610㎡。</w:t>
      </w:r>
    </w:p>
    <w:p>
      <w:pPr>
        <w:pStyle w:val="52"/>
        <w:ind w:firstLine="0" w:firstLineChars="0"/>
        <w:rPr>
          <w:color w:val="000000" w:themeColor="text1"/>
          <w:highlight w:val="none"/>
          <w:u w:val="single"/>
          <w14:textFill>
            <w14:solidFill>
              <w14:schemeClr w14:val="tx1"/>
            </w14:solidFill>
          </w14:textFill>
        </w:rPr>
      </w:pPr>
      <w:r>
        <w:rPr>
          <w:rFonts w:eastAsia="黑体"/>
          <w:bCs/>
          <w:color w:val="000000" w:themeColor="text1"/>
          <w:kern w:val="2"/>
          <w:sz w:val="30"/>
          <w:highlight w:val="none"/>
          <w14:textFill>
            <w14:solidFill>
              <w14:schemeClr w14:val="tx1"/>
            </w14:solidFill>
          </w14:textFill>
        </w:rPr>
        <w:t>2.</w:t>
      </w:r>
      <w:r>
        <w:rPr>
          <w:rFonts w:hint="eastAsia" w:eastAsia="黑体"/>
          <w:bCs/>
          <w:color w:val="000000" w:themeColor="text1"/>
          <w:kern w:val="2"/>
          <w:sz w:val="30"/>
          <w:highlight w:val="none"/>
          <w14:textFill>
            <w14:solidFill>
              <w14:schemeClr w14:val="tx1"/>
            </w14:solidFill>
          </w14:textFill>
        </w:rPr>
        <w:t xml:space="preserve"> 承包方式</w:t>
      </w:r>
      <w:r>
        <w:rPr>
          <w:rFonts w:hint="eastAsia"/>
          <w:color w:val="000000" w:themeColor="text1"/>
          <w:highlight w:val="none"/>
          <w:u w:val="single"/>
          <w14:textFill>
            <w14:solidFill>
              <w14:schemeClr w14:val="tx1"/>
            </w14:solidFill>
          </w14:textFill>
        </w:rPr>
        <w:t xml:space="preserve"> </w:t>
      </w:r>
    </w:p>
    <w:p>
      <w:pPr>
        <w:spacing w:line="360" w:lineRule="auto"/>
        <w:ind w:firstLine="420" w:firstLineChars="200"/>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按照本合同约定的承包范围包深化设计（优化设计）、包材料设备采购、包安全文明施工、包成品保护、包对与本工程相关的其他各专业工程提供协调及配合服务、包验收移交及相关保修售后服务。</w:t>
      </w:r>
    </w:p>
    <w:p>
      <w:pPr>
        <w:pStyle w:val="73"/>
        <w:rPr>
          <w:color w:val="000000" w:themeColor="text1"/>
          <w:highlight w:val="none"/>
          <w14:textFill>
            <w14:solidFill>
              <w14:schemeClr w14:val="tx1"/>
            </w14:solidFill>
          </w14:textFill>
        </w:rPr>
      </w:pPr>
      <w:bookmarkStart w:id="18" w:name="_Toc1181"/>
      <w:bookmarkStart w:id="19" w:name="_Toc402450432"/>
      <w:bookmarkStart w:id="20" w:name="_Toc15151"/>
      <w:bookmarkStart w:id="21" w:name="_Toc44492400"/>
      <w:r>
        <w:rPr>
          <w:color w:val="000000" w:themeColor="text1"/>
          <w:highlight w:val="none"/>
          <w14:textFill>
            <w14:solidFill>
              <w14:schemeClr w14:val="tx1"/>
            </w14:solidFill>
          </w14:textFill>
        </w:rPr>
        <w:t xml:space="preserve">3. </w:t>
      </w:r>
      <w:r>
        <w:rPr>
          <w:rFonts w:hint="eastAsia"/>
          <w:color w:val="000000" w:themeColor="text1"/>
          <w:highlight w:val="none"/>
          <w14:textFill>
            <w14:solidFill>
              <w14:schemeClr w14:val="tx1"/>
            </w14:solidFill>
          </w14:textFill>
        </w:rPr>
        <w:t>承包范围</w:t>
      </w:r>
      <w:bookmarkEnd w:id="18"/>
      <w:bookmarkEnd w:id="19"/>
      <w:bookmarkEnd w:id="20"/>
      <w:bookmarkEnd w:id="21"/>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 承包范围：</w:t>
      </w:r>
      <w:r>
        <w:rPr>
          <w:color w:val="000000" w:themeColor="text1"/>
          <w:highlight w:val="none"/>
          <w14:textFill>
            <w14:solidFill>
              <w14:schemeClr w14:val="tx1"/>
            </w14:solidFill>
          </w14:textFill>
        </w:rPr>
        <w:t>依据发包人提供的图纸</w:t>
      </w:r>
      <w:r>
        <w:rPr>
          <w:rFonts w:hint="eastAsia"/>
          <w:color w:val="000000" w:themeColor="text1"/>
          <w:highlight w:val="none"/>
          <w14:textFill>
            <w14:solidFill>
              <w14:schemeClr w14:val="tx1"/>
            </w14:solidFill>
          </w14:textFill>
        </w:rPr>
        <w:t xml:space="preserve">、合同附件及相关规范标准完成本工程工作内容，在实施过程中经发包人同意，承包人有权根据本工程实际情况需要增减工作内容及工程范围，分包人不得因承包人增减工作内容或工程范围而提出调整合同清单单价或任何费用索赔，分包人不能拒绝执行为完成全部工程而执行的可能遗漏的工作。 </w:t>
      </w:r>
    </w:p>
    <w:p>
      <w:pPr>
        <w:adjustRightInd w:val="0"/>
        <w:snapToGrid w:val="0"/>
        <w:spacing w:line="360" w:lineRule="auto"/>
        <w:ind w:firstLine="420" w:firstLineChars="200"/>
        <w:rPr>
          <w:color w:val="000000" w:themeColor="text1"/>
          <w:highlight w:val="none"/>
          <w14:textFill>
            <w14:solidFill>
              <w14:schemeClr w14:val="tx1"/>
            </w14:solidFill>
          </w14:textFill>
        </w:rPr>
      </w:pPr>
      <w:bookmarkStart w:id="22" w:name="_Hlk127382231"/>
      <w:bookmarkStart w:id="23" w:name="_Hlk124691727"/>
      <w:r>
        <w:rPr>
          <w:rFonts w:hint="eastAsia"/>
          <w:color w:val="000000" w:themeColor="text1"/>
          <w:highlight w:val="none"/>
          <w14:textFill>
            <w14:solidFill>
              <w14:schemeClr w14:val="tx1"/>
            </w14:solidFill>
          </w14:textFill>
        </w:rPr>
        <w:t>根据《用电咨询答复书》约定：本工程由交流10kV单回路电源供电，新建专用变压器4*1250+4*1600+200kVA，合计11600kVA。</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A1-A6、A9栋商业</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电源接入方式：由隆康F23供电，在隆康站新出F23出线至新建开关房，在新建开关房断路器柜接取电源并新敷10KV电缆至高压室，再由新建高压室新敷10KV电缆分别至新建#1专变房(1*1250kVA)、新建#2专变房(1*1250kVA)、新建#3专变房(1*1250kVA)、新建#4专变房(1*1250kVA)、新建#5专变房 (1*1600 kVA) 、新建#6专变房 (1*1600 kVA) 、新建#7专变房 (1*1600 kVA) 、新建#8专变房 (1*1600 kVA) 。</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粤海云港城幼儿园</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由隆康F23供电，待广东粤海置地发展有限公司(08000080000051579068)业扩配套项目实施后，在开关房熔丝柜接取电源并新敷10KV电缆至新建专变房（1*200 kVA）。 </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具体施工内容为依据招标文件、招标图纸（包括技术需求书）、工程量清单及有关资料及说明，主要包括（但不限于）如下内容：</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3.1.1  10kV外线工程：</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土建工程</w:t>
      </w:r>
    </w:p>
    <w:p>
      <w:pPr>
        <w:adjustRightInd w:val="0"/>
        <w:snapToGrid w:val="0"/>
        <w:spacing w:line="360" w:lineRule="auto"/>
        <w:ind w:firstLine="420" w:firstLineChars="200"/>
        <w:rPr>
          <w:rFonts w:cs="Calibri"/>
          <w:color w:val="000000" w:themeColor="text1"/>
          <w:highlight w:val="none"/>
          <w14:textFill>
            <w14:solidFill>
              <w14:schemeClr w14:val="tx1"/>
            </w14:solidFill>
          </w14:textFill>
        </w:rPr>
      </w:pPr>
      <w:r>
        <w:rPr>
          <w:rFonts w:cs="Calibri"/>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红线内电缆管廊开挖、建造、回填及恢复的土建施工；</w:t>
      </w:r>
    </w:p>
    <w:p>
      <w:pPr>
        <w:adjustRightInd w:val="0"/>
        <w:snapToGrid w:val="0"/>
        <w:spacing w:line="360" w:lineRule="auto"/>
        <w:ind w:firstLine="420" w:firstLineChars="200"/>
        <w:rPr>
          <w:rFonts w:cs="Calibri"/>
          <w:color w:val="000000" w:themeColor="text1"/>
          <w:highlight w:val="none"/>
          <w14:textFill>
            <w14:solidFill>
              <w14:schemeClr w14:val="tx1"/>
            </w14:solidFill>
          </w14:textFill>
        </w:rPr>
      </w:pPr>
      <w:r>
        <w:rPr>
          <w:rFonts w:cs="Calibri"/>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红线内电缆工作井、检修井等开挖、建造、回填及恢复的土建施工；</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2）电源接驳及线缆敷设</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ab/>
      </w:r>
      <w:r>
        <w:rPr>
          <w:rFonts w:cs="Calibri"/>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隆康变电站10KV段电源接驳；</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cs="Calibri"/>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隆康变电站至本项目高压室线缆敷设（含终端头、中间头）；</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cs="Calibri"/>
          <w:color w:val="000000" w:themeColor="text1"/>
          <w:highlight w:val="none"/>
          <w14:textFill>
            <w14:solidFill>
              <w14:schemeClr w14:val="tx1"/>
            </w14:solidFill>
          </w14:textFill>
        </w:rPr>
        <w:t>③</w:t>
      </w:r>
      <w:r>
        <w:rPr>
          <w:rFonts w:hint="eastAsia"/>
          <w:color w:val="000000" w:themeColor="text1"/>
          <w:highlight w:val="none"/>
          <w14:textFill>
            <w14:solidFill>
              <w14:schemeClr w14:val="tx1"/>
            </w14:solidFill>
          </w14:textFill>
        </w:rPr>
        <w:t>10KV电缆桥架施工、地下室外墙堵洞。</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3.1.2  室内变配电工程：</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高压房、变压器房、低压房房内电缆坑、柜坑（含预埋角钢）、变压器基础、电房门安装；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电房区域内电缆坑（沟）、基础（含预埋角钢）等施工，预制坑板等制作封盖；</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电房配套工程施工（电房内照明、排气扇、灭火器、护栏、电房门、百叶窗、防鼠挡板等供货安装）；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高压室、变压器室、低压室墙身绕墙式地网并连通各房内设备外壳，并预留充足的接地端子；</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电房内禁止标志、警告标志、指令标志、电房标志、电房门牌、各设备电缆回路标志等供货及安装；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所有电房内地面涂防静电地坪漆、电气设备操作面绝缘地板胶供货及铺设；墙面及天棚面装饰；</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电房内高低压设备及柜内母排、母线槽供货及安装；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8）变压器0. 4KV端至低压柜进线柜上母排、低压柜联络开关母线段供货及安装：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9）发电机房配电柜供货及安装（除发电机及环保工程外）；</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3.1.3、母线槽供货及安装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低压柜出线至插接箱的母线槽（含插接箱）及发电机房耐火母线槽供货安装。</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3.1.4、其他：</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1）各系统调试、送电：10KV进线回路、真空断路器、零序、综合继保、直流屏、电缆、变压器、10KV母线、0.4KV母线、接地系统、低压进线回路调试；</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负责本工程施工需穿越建筑基础、墙、楼层等部位的开凿及恢复工作，必须通过承包人报发包人同意后方可施工；</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负责办理本工程的各项报建、报装、报规划等相关手续并承担全部费用（所需的所有费用均包含在合同价格中），直至取得相关部门的批复；报验、送电申报、配合甲方将开关房移交供电局并承担全部费用（所需的所有费用均包含在合同价格中），负责施工过程中为完成本合同工程内容须与各相关政府部门及沿线各相关物业单位沟通、协调等相关事宜，相关所需的所有费用均包含在合同价格中。</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负责办理符合广州供电局及政府部门验收要求的手续及竣工验收资料。</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分包人免费为本项目申请报装电表，根据项目的需要，经发包人书面同意，承包人可能增加或者改变用电回路或者使用功能，分包人须免费为本项目办理政府部门的相关手续。</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移交给发包人之前的成品保护工作，包括防盗、防破坏、防潮防湿，未移交前的分包人施工内容的丢失、损坏由分包人负责。负责物业管理移交及相关一切培训工作。</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清洁卫生、垃圾清运及材料二次搬运等及所有措施类工作。</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与本项目其它施工单位的配合工作，配合消防系统施工、验收的工作。</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9）根据现状与合同要求完成承包范围内工作内容并达到南网验收标准及使用要求所必须的其它工作内容。</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10）质量保修期内对设备和线路的维修保养。</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11）负责办理涉及本项目广州供电局、白云供电局供电协议变更，确保按合同工期验收送电。</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12）未详尽事宜执行《供用电方案协议》、设计院图纸、合同相关文件。</w:t>
      </w:r>
      <w:bookmarkEnd w:id="22"/>
      <w:bookmarkEnd w:id="23"/>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分包人在项目红线内施工过程中的产生的水电费用已包含在发包人向承包人支付的总承包服务费中，期间分包人每月发生的水电费，由承包人支付，分包人无需再向承包人支付水电费；分包人项目红线外施工过程中产生的水电费包含在本签约合同价格中，由分包人自行解决。承包人向分包人提供相应的项目红线内施工用水、用电的接驳点（具体接驳点位置要求详见合同附件6），且容量或负荷满足专业分包的要求。接驳点以后的项目红线内外管道、线路由分包人负责敷设、拆除，并承担相关费用；</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分包人负责本专业工程的材料采购、材料加工、材料运输装卸（包括二次转运）、材料检测取样送样、材料仓储、材料保护，施工机械及设备的投入，施工图深化，工程施工、施工及安全文明措施、成品保护，施工垃圾清理；负责完成本合同工程所需与相关政府部门及沿线相关物业单位的配合协调工作；完成本工程各项专业工程的调试、试验、验收工作；配合和满足本项目总包安全管理及现场施工管理要求，配合和满足本项目监理的各项管理要求；配合和满足本项目规划、节能、消防等各项验收的要求等，相关费用包含在合同价格中，不另外计取。</w:t>
      </w:r>
    </w:p>
    <w:p>
      <w:pPr>
        <w:adjustRightInd w:val="0"/>
        <w:snapToGrid w:val="0"/>
        <w:spacing w:line="360" w:lineRule="auto"/>
        <w:ind w:firstLine="420" w:firstLineChars="200"/>
        <w:rPr>
          <w:color w:val="000000" w:themeColor="text1"/>
          <w:highlight w:val="none"/>
          <w14:textFill>
            <w14:solidFill>
              <w14:schemeClr w14:val="tx1"/>
            </w14:solidFill>
          </w14:textFill>
        </w:rPr>
      </w:pPr>
      <w:bookmarkStart w:id="24" w:name="_Toc6945"/>
      <w:bookmarkStart w:id="25" w:name="_Toc26249"/>
      <w:bookmarkStart w:id="26" w:name="_Toc44492401"/>
      <w:r>
        <w:rPr>
          <w:rFonts w:hint="eastAsia"/>
          <w:color w:val="000000" w:themeColor="text1"/>
          <w:highlight w:val="none"/>
          <w14:textFill>
            <w14:solidFill>
              <w14:schemeClr w14:val="tx1"/>
            </w14:solidFill>
          </w14:textFill>
        </w:rPr>
        <w:t>3.3分包人作为专业分包人纳入承包人的管理，服从承包人的协调管理，配合承包人做好质量、进度、安全、文明施工、验收等方面的工作。在承包人的总体协调管理下，做好与各专业单位的交叉施工与协调管理工作，按各专业工种界面做到有序施工。</w:t>
      </w:r>
    </w:p>
    <w:p>
      <w:pPr>
        <w:adjustRightInd w:val="0"/>
        <w:snapToGrid w:val="0"/>
        <w:spacing w:line="360" w:lineRule="auto"/>
        <w:ind w:firstLine="420" w:firstLineChars="200"/>
        <w:rPr>
          <w:rFonts w:ascii="宋体" w:hAnsi="宋体"/>
          <w:color w:val="000000" w:themeColor="text1"/>
          <w:szCs w:val="21"/>
          <w:highlight w:val="none"/>
          <w:u w:val="single"/>
          <w14:textFill>
            <w14:solidFill>
              <w14:schemeClr w14:val="tx1"/>
            </w14:solidFill>
          </w14:textFill>
        </w:rPr>
      </w:pP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4</w:t>
      </w:r>
      <w:r>
        <w:rPr>
          <w:rFonts w:ascii="宋体" w:hAnsi="宋体"/>
          <w:color w:val="000000" w:themeColor="text1"/>
          <w:szCs w:val="2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分包人被视为已在本工程投标阶段踏勘现场，并充分了解本工程现场条件和周围环境，并已在其投标时就此给予了充分的考虑。</w:t>
      </w:r>
    </w:p>
    <w:p>
      <w:pPr>
        <w:adjustRightInd w:val="0"/>
        <w:snapToGrid w:val="0"/>
        <w:spacing w:line="360" w:lineRule="auto"/>
        <w:ind w:firstLine="420" w:firstLineChars="200"/>
        <w:rPr>
          <w:color w:val="000000" w:themeColor="text1"/>
          <w:highlight w:val="none"/>
          <w14:textFill>
            <w14:solidFill>
              <w14:schemeClr w14:val="tx1"/>
            </w14:solidFill>
          </w14:textFill>
        </w:rPr>
      </w:pPr>
      <w:r>
        <w:rPr>
          <w:rFonts w:ascii="宋体" w:hAnsi="宋体"/>
          <w:color w:val="000000" w:themeColor="text1"/>
          <w:szCs w:val="21"/>
          <w:highlight w:val="none"/>
          <w:u w:val="single"/>
          <w14:textFill>
            <w14:solidFill>
              <w14:schemeClr w14:val="tx1"/>
            </w14:solidFill>
          </w14:textFill>
        </w:rPr>
        <w:t>3.</w:t>
      </w:r>
      <w:r>
        <w:rPr>
          <w:rFonts w:hint="eastAsia" w:ascii="宋体" w:hAnsi="宋体"/>
          <w:color w:val="000000" w:themeColor="text1"/>
          <w:szCs w:val="21"/>
          <w:highlight w:val="none"/>
          <w:u w:val="single"/>
          <w14:textFill>
            <w14:solidFill>
              <w14:schemeClr w14:val="tx1"/>
            </w14:solidFill>
          </w14:textFill>
        </w:rPr>
        <w:t>5本合同工程相关的第三方检测由发包人另行委托，不在本合同范围内。但分包人需提供满足检测要求所需的材料并承担材料及材料损耗及检测配合的相关费用。分包人必须充分考虑项目实施和验收所产生的检测数量、内容以及检测报告及资料的相应增加，相关工作费用已包含于合同</w:t>
      </w:r>
      <w:r>
        <w:rPr>
          <w:rFonts w:hint="eastAsia"/>
          <w:color w:val="000000" w:themeColor="text1"/>
          <w:highlight w:val="none"/>
          <w14:textFill>
            <w14:solidFill>
              <w14:schemeClr w14:val="tx1"/>
            </w14:solidFill>
          </w14:textFill>
        </w:rPr>
        <w:t>价格</w:t>
      </w:r>
      <w:r>
        <w:rPr>
          <w:rFonts w:hint="eastAsia" w:ascii="宋体" w:hAnsi="宋体"/>
          <w:color w:val="000000" w:themeColor="text1"/>
          <w:szCs w:val="21"/>
          <w:highlight w:val="none"/>
          <w:u w:val="single"/>
          <w14:textFill>
            <w14:solidFill>
              <w14:schemeClr w14:val="tx1"/>
            </w14:solidFill>
          </w14:textFill>
        </w:rPr>
        <w:t>内。</w:t>
      </w:r>
    </w:p>
    <w:p>
      <w:pPr>
        <w:adjustRightInd w:val="0"/>
        <w:snapToGrid w:val="0"/>
        <w:spacing w:line="360" w:lineRule="auto"/>
        <w:ind w:firstLine="420" w:firstLineChars="200"/>
        <w:rPr>
          <w:rFonts w:ascii="宋体" w:hAnsi="宋体"/>
          <w:color w:val="000000" w:themeColor="text1"/>
          <w:szCs w:val="2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3.6承包人对分包人的管理与配合服务内容详见合同附件6“总承包管理与配合服务管理办法” ，</w:t>
      </w:r>
      <w:r>
        <w:rPr>
          <w:color w:val="000000" w:themeColor="text1"/>
          <w:highlight w:val="none"/>
          <w14:textFill>
            <w14:solidFill>
              <w14:schemeClr w14:val="tx1"/>
            </w14:solidFill>
          </w14:textFill>
        </w:rPr>
        <w:t>相对应的总承包服务费由发包人统一向承包人支付</w:t>
      </w:r>
      <w:r>
        <w:rPr>
          <w:rFonts w:hint="eastAsia"/>
          <w:color w:val="000000" w:themeColor="text1"/>
          <w:highlight w:val="none"/>
          <w14:textFill>
            <w14:solidFill>
              <w14:schemeClr w14:val="tx1"/>
            </w14:solidFill>
          </w14:textFill>
        </w:rPr>
        <w:t>，分包人无需再向承包人支付</w:t>
      </w:r>
      <w:r>
        <w:rPr>
          <w:color w:val="000000" w:themeColor="text1"/>
          <w:highlight w:val="none"/>
          <w14:textFill>
            <w14:solidFill>
              <w14:schemeClr w14:val="tx1"/>
            </w14:solidFill>
          </w14:textFill>
        </w:rPr>
        <w:t>总承包服务费</w:t>
      </w:r>
      <w:r>
        <w:rPr>
          <w:rFonts w:hint="eastAsia"/>
          <w:color w:val="000000" w:themeColor="text1"/>
          <w:highlight w:val="none"/>
          <w14:textFill>
            <w14:solidFill>
              <w14:schemeClr w14:val="tx1"/>
            </w14:solidFill>
          </w14:textFill>
        </w:rPr>
        <w:t>。</w:t>
      </w:r>
    </w:p>
    <w:p>
      <w:pPr>
        <w:pStyle w:val="73"/>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 合同工期</w:t>
      </w:r>
      <w:bookmarkEnd w:id="24"/>
      <w:bookmarkEnd w:id="25"/>
      <w:bookmarkEnd w:id="26"/>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.1.</w:t>
      </w:r>
      <w:r>
        <w:rPr>
          <w:rFonts w:hint="eastAsia" w:eastAsia="宋体"/>
          <w:color w:val="000000" w:themeColor="text1"/>
          <w:kern w:val="2"/>
          <w:szCs w:val="22"/>
          <w:highlight w:val="none"/>
          <w14:textFill>
            <w14:solidFill>
              <w14:schemeClr w14:val="tx1"/>
            </w14:solidFill>
          </w14:textFill>
        </w:rPr>
        <w:t>合同工期：</w:t>
      </w:r>
      <w:r>
        <w:rPr>
          <w:rFonts w:hint="eastAsia" w:eastAsia="宋体"/>
          <w:color w:val="000000" w:themeColor="text1"/>
          <w:kern w:val="2"/>
          <w:szCs w:val="22"/>
          <w:highlight w:val="none"/>
          <w:u w:val="single"/>
          <w14:textFill>
            <w14:solidFill>
              <w14:schemeClr w14:val="tx1"/>
            </w14:solidFill>
          </w14:textFill>
        </w:rPr>
        <w:t>170</w:t>
      </w:r>
      <w:r>
        <w:rPr>
          <w:rFonts w:hint="eastAsia" w:eastAsia="宋体"/>
          <w:color w:val="000000" w:themeColor="text1"/>
          <w:kern w:val="2"/>
          <w:szCs w:val="22"/>
          <w:highlight w:val="none"/>
          <w14:textFill>
            <w14:solidFill>
              <w14:schemeClr w14:val="tx1"/>
            </w14:solidFill>
          </w14:textFill>
        </w:rPr>
        <w:t>日历天。</w:t>
      </w:r>
    </w:p>
    <w:p>
      <w:pPr>
        <w:pStyle w:val="52"/>
        <w:ind w:firstLine="420"/>
        <w:rPr>
          <w:rFonts w:eastAsia="宋体"/>
          <w:color w:val="000000" w:themeColor="text1"/>
          <w:kern w:val="2"/>
          <w:szCs w:val="22"/>
          <w:highlight w:val="none"/>
          <w:u w:val="single"/>
          <w14:textFill>
            <w14:solidFill>
              <w14:schemeClr w14:val="tx1"/>
            </w14:solidFill>
          </w14:textFill>
        </w:rPr>
      </w:pPr>
      <w:r>
        <w:rPr>
          <w:rFonts w:hint="eastAsia" w:eastAsia="宋体"/>
          <w:color w:val="000000" w:themeColor="text1"/>
          <w:kern w:val="2"/>
          <w:szCs w:val="22"/>
          <w:highlight w:val="none"/>
          <w:u w:val="single"/>
          <w14:textFill>
            <w14:solidFill>
              <w14:schemeClr w14:val="tx1"/>
            </w14:solidFill>
          </w14:textFill>
        </w:rPr>
        <w:t>以上工期已充分考虑各种形式的雨雪、冰雹、大风、高温、停水、停电、节假日、国家庆典、外交来访、重大活动（如国际会议、大型运动会、大型阅兵庆典等）、中考、高考期间、召开“两会”期间的施工管制、交通管制、扰民、道路施工影响等不利因素，并已考虑分包人与承包人、其他分包单位之间的配合时间，分包人不得以上述因素申请工期的延长。分包人被视为已在本工程投标阶段踏勘现场，并充分了解本工程现场条件和周围环境，并已在其投标时就此给予了充分的考虑。</w:t>
      </w:r>
      <w:r>
        <w:rPr>
          <w:rFonts w:hint="eastAsia" w:eastAsia="宋体"/>
          <w:color w:val="000000" w:themeColor="text1"/>
          <w:kern w:val="2"/>
          <w:szCs w:val="22"/>
          <w:highlight w:val="none"/>
          <w14:textFill>
            <w14:solidFill>
              <w14:schemeClr w14:val="tx1"/>
            </w14:solidFill>
          </w14:textFill>
        </w:rPr>
        <w:t>除合同另有明确约定，合同工期不做任何调整</w:t>
      </w:r>
      <w:r>
        <w:rPr>
          <w:rFonts w:hint="eastAsia" w:eastAsia="宋体"/>
          <w:color w:val="000000" w:themeColor="text1"/>
          <w:kern w:val="2"/>
          <w:szCs w:val="22"/>
          <w:highlight w:val="none"/>
          <w:u w:val="single"/>
          <w14:textFill>
            <w14:solidFill>
              <w14:schemeClr w14:val="tx1"/>
            </w14:solidFill>
          </w14:textFill>
        </w:rPr>
        <w:t>。</w:t>
      </w:r>
    </w:p>
    <w:p>
      <w:pPr>
        <w:pStyle w:val="52"/>
        <w:ind w:firstLine="420"/>
        <w:rPr>
          <w:rFonts w:eastAsia="宋体"/>
          <w:color w:val="000000" w:themeColor="text1"/>
          <w:kern w:val="2"/>
          <w:szCs w:val="22"/>
          <w:highlight w:val="non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eastAsia="宋体"/>
          <w:color w:val="000000" w:themeColor="text1"/>
          <w:kern w:val="2"/>
          <w:szCs w:val="22"/>
          <w:highlight w:val="none"/>
          <w14:textFill>
            <w14:solidFill>
              <w14:schemeClr w14:val="tx1"/>
            </w14:solidFill>
          </w14:textFill>
        </w:rPr>
        <w:t>开工日期</w:t>
      </w:r>
    </w:p>
    <w:p>
      <w:pPr>
        <w:pStyle w:val="52"/>
        <w:ind w:firstLine="420"/>
        <w:rPr>
          <w:rFonts w:eastAsia="宋体"/>
          <w:color w:val="000000" w:themeColor="text1"/>
          <w:kern w:val="2"/>
          <w:szCs w:val="22"/>
          <w:highlight w:val="none"/>
          <w14:textFill>
            <w14:solidFill>
              <w14:schemeClr w14:val="tx1"/>
            </w14:solidFill>
          </w14:textFill>
        </w:rPr>
      </w:pPr>
      <w:r>
        <w:rPr>
          <w:rFonts w:hint="eastAsia" w:eastAsia="宋体"/>
          <w:color w:val="000000" w:themeColor="text1"/>
          <w:kern w:val="2"/>
          <w:szCs w:val="22"/>
          <w:highlight w:val="none"/>
          <w14:textFill>
            <w14:solidFill>
              <w14:schemeClr w14:val="tx1"/>
            </w14:solidFill>
          </w14:textFill>
        </w:rPr>
        <w:t>开工日期：暂定为</w:t>
      </w:r>
      <w:r>
        <w:rPr>
          <w:rFonts w:eastAsia="宋体"/>
          <w:color w:val="000000" w:themeColor="text1"/>
          <w:kern w:val="2"/>
          <w:szCs w:val="22"/>
          <w:highlight w:val="none"/>
          <w:u w:val="single"/>
          <w14:textFill>
            <w14:solidFill>
              <w14:schemeClr w14:val="tx1"/>
            </w14:solidFill>
          </w14:textFill>
        </w:rPr>
        <w:t>2023</w:t>
      </w:r>
      <w:r>
        <w:rPr>
          <w:rFonts w:hint="eastAsia" w:eastAsia="宋体"/>
          <w:color w:val="000000" w:themeColor="text1"/>
          <w:kern w:val="2"/>
          <w:szCs w:val="22"/>
          <w:highlight w:val="none"/>
          <w14:textFill>
            <w14:solidFill>
              <w14:schemeClr w14:val="tx1"/>
            </w14:solidFill>
          </w14:textFill>
        </w:rPr>
        <w:t>年</w:t>
      </w:r>
      <w:r>
        <w:rPr>
          <w:rFonts w:hint="eastAsia" w:eastAsia="宋体"/>
          <w:color w:val="000000" w:themeColor="text1"/>
          <w:kern w:val="2"/>
          <w:szCs w:val="22"/>
          <w:highlight w:val="none"/>
          <w:u w:val="single"/>
          <w14:textFill>
            <w14:solidFill>
              <w14:schemeClr w14:val="tx1"/>
            </w14:solidFill>
          </w14:textFill>
        </w:rPr>
        <w:t>8</w:t>
      </w:r>
      <w:r>
        <w:rPr>
          <w:rFonts w:hint="eastAsia" w:eastAsia="宋体"/>
          <w:color w:val="000000" w:themeColor="text1"/>
          <w:kern w:val="2"/>
          <w:szCs w:val="22"/>
          <w:highlight w:val="none"/>
          <w14:textFill>
            <w14:solidFill>
              <w14:schemeClr w14:val="tx1"/>
            </w14:solidFill>
          </w14:textFill>
        </w:rPr>
        <w:t>月</w:t>
      </w:r>
      <w:r>
        <w:rPr>
          <w:rFonts w:hint="eastAsia" w:eastAsia="宋体"/>
          <w:color w:val="000000" w:themeColor="text1"/>
          <w:kern w:val="2"/>
          <w:szCs w:val="22"/>
          <w:highlight w:val="none"/>
          <w:u w:val="single"/>
          <w14:textFill>
            <w14:solidFill>
              <w14:schemeClr w14:val="tx1"/>
            </w14:solidFill>
          </w14:textFill>
        </w:rPr>
        <w:t>11</w:t>
      </w:r>
      <w:r>
        <w:rPr>
          <w:rFonts w:hint="eastAsia" w:eastAsia="宋体"/>
          <w:color w:val="000000" w:themeColor="text1"/>
          <w:kern w:val="2"/>
          <w:szCs w:val="22"/>
          <w:highlight w:val="none"/>
          <w14:textFill>
            <w14:solidFill>
              <w14:schemeClr w14:val="tx1"/>
            </w14:solidFill>
          </w14:textFill>
        </w:rPr>
        <w:t>日</w:t>
      </w:r>
      <w:r>
        <w:rPr>
          <w:rFonts w:eastAsia="宋体"/>
          <w:color w:val="000000" w:themeColor="text1"/>
          <w:kern w:val="2"/>
          <w:szCs w:val="22"/>
          <w:highlight w:val="none"/>
          <w14:textFill>
            <w14:solidFill>
              <w14:schemeClr w14:val="tx1"/>
            </w14:solidFill>
          </w14:textFill>
        </w:rPr>
        <w:t>(</w:t>
      </w:r>
      <w:r>
        <w:rPr>
          <w:rFonts w:hint="eastAsia" w:eastAsia="宋体"/>
          <w:color w:val="000000" w:themeColor="text1"/>
          <w:kern w:val="2"/>
          <w:szCs w:val="22"/>
          <w:highlight w:val="none"/>
          <w14:textFill>
            <w14:solidFill>
              <w14:schemeClr w14:val="tx1"/>
            </w14:solidFill>
          </w14:textFill>
        </w:rPr>
        <w:t>以经发包人确认同意由承包人书面下发的开工通知中载明的日期为准)；</w:t>
      </w:r>
    </w:p>
    <w:p>
      <w:pPr>
        <w:pStyle w:val="52"/>
        <w:ind w:firstLine="420"/>
        <w:rPr>
          <w:color w:val="000000" w:themeColor="text1"/>
          <w:highlight w:val="none"/>
          <w:u w:val="singl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eastAsia="宋体"/>
          <w:color w:val="000000" w:themeColor="text1"/>
          <w:kern w:val="2"/>
          <w:szCs w:val="22"/>
          <w:highlight w:val="none"/>
          <w14:textFill>
            <w14:solidFill>
              <w14:schemeClr w14:val="tx1"/>
            </w14:solidFill>
          </w14:textFill>
        </w:rPr>
        <w:t>竣工日期：</w:t>
      </w:r>
      <w:r>
        <w:rPr>
          <w:rFonts w:hint="eastAsia" w:eastAsia="宋体"/>
          <w:color w:val="000000" w:themeColor="text1"/>
          <w:kern w:val="2"/>
          <w:szCs w:val="22"/>
          <w:highlight w:val="none"/>
          <w:u w:val="single"/>
          <w14:textFill>
            <w14:solidFill>
              <w14:schemeClr w14:val="tx1"/>
            </w14:solidFill>
          </w14:textFill>
        </w:rPr>
        <w:t>暂定为</w:t>
      </w:r>
      <w:r>
        <w:rPr>
          <w:rFonts w:eastAsia="宋体"/>
          <w:color w:val="000000" w:themeColor="text1"/>
          <w:kern w:val="2"/>
          <w:szCs w:val="22"/>
          <w:highlight w:val="none"/>
          <w:u w:val="single"/>
          <w14:textFill>
            <w14:solidFill>
              <w14:schemeClr w14:val="tx1"/>
            </w14:solidFill>
          </w14:textFill>
        </w:rPr>
        <w:t>2024</w:t>
      </w:r>
      <w:r>
        <w:rPr>
          <w:rFonts w:hint="eastAsia" w:eastAsia="宋体"/>
          <w:color w:val="000000" w:themeColor="text1"/>
          <w:kern w:val="2"/>
          <w:szCs w:val="22"/>
          <w:highlight w:val="none"/>
          <w:u w:val="single"/>
          <w14:textFill>
            <w14:solidFill>
              <w14:schemeClr w14:val="tx1"/>
            </w14:solidFill>
          </w14:textFill>
        </w:rPr>
        <w:t>年1月27日；</w:t>
      </w:r>
    </w:p>
    <w:p>
      <w:pPr>
        <w:spacing w:line="360" w:lineRule="auto"/>
        <w:ind w:firstLine="420" w:firstLineChars="200"/>
        <w:rPr>
          <w:rFonts w:ascii="仿宋" w:hAnsi="仿宋" w:eastAsia="仿宋" w:cs="仿宋"/>
          <w:color w:val="000000" w:themeColor="text1"/>
          <w:highlight w:val="none"/>
          <w14:textFill>
            <w14:solidFill>
              <w14:schemeClr w14:val="tx1"/>
            </w14:solidFill>
          </w14:textFill>
        </w:rPr>
      </w:pPr>
      <w:r>
        <w:rPr>
          <w:rFonts w:ascii="Times New Roman" w:hAnsi="Times New Roman" w:eastAsia="仿宋_GB2312"/>
          <w:color w:val="000000" w:themeColor="text1"/>
          <w:kern w:val="0"/>
          <w:szCs w:val="32"/>
          <w:highlight w:val="none"/>
          <w14:textFill>
            <w14:solidFill>
              <w14:schemeClr w14:val="tx1"/>
            </w14:solidFill>
          </w14:textFill>
        </w:rPr>
        <w:t>4</w:t>
      </w:r>
      <w:r>
        <w:rPr>
          <w:rFonts w:hint="eastAsia" w:ascii="Times New Roman" w:hAnsi="Times New Roman" w:eastAsia="仿宋_GB2312"/>
          <w:color w:val="000000" w:themeColor="text1"/>
          <w:kern w:val="0"/>
          <w:szCs w:val="32"/>
          <w:highlight w:val="none"/>
          <w14:textFill>
            <w14:solidFill>
              <w14:schemeClr w14:val="tx1"/>
            </w14:solidFill>
          </w14:textFill>
        </w:rPr>
        <w:t xml:space="preserve">.4. </w:t>
      </w:r>
      <w:r>
        <w:rPr>
          <w:rFonts w:hint="eastAsia"/>
          <w:color w:val="000000" w:themeColor="text1"/>
          <w:highlight w:val="none"/>
          <w:u w:val="single"/>
          <w14:textFill>
            <w14:solidFill>
              <w14:schemeClr w14:val="tx1"/>
            </w14:solidFill>
          </w14:textFill>
        </w:rPr>
        <w:t>若本工程开工日期顺延的，则本工程相应的节点工期相应调整，分包人需采取相应措施，确保不影响项目整体竣工验收合格日期和竣工备案通过日期。</w:t>
      </w:r>
      <w:r>
        <w:rPr>
          <w:rFonts w:hint="eastAsia" w:ascii="仿宋" w:hAnsi="仿宋" w:eastAsia="仿宋" w:cs="仿宋"/>
          <w:color w:val="000000" w:themeColor="text1"/>
          <w:highlight w:val="none"/>
          <w:lang w:bidi="ar"/>
          <w14:textFill>
            <w14:solidFill>
              <w14:schemeClr w14:val="tx1"/>
            </w14:solidFill>
          </w14:textFill>
        </w:rPr>
        <w:t xml:space="preserve"> </w:t>
      </w:r>
    </w:p>
    <w:p>
      <w:pPr>
        <w:pStyle w:val="73"/>
        <w:rPr>
          <w:color w:val="000000" w:themeColor="text1"/>
          <w:highlight w:val="none"/>
          <w14:textFill>
            <w14:solidFill>
              <w14:schemeClr w14:val="tx1"/>
            </w14:solidFill>
          </w14:textFill>
        </w:rPr>
      </w:pPr>
      <w:bookmarkStart w:id="27" w:name="_Toc30316"/>
      <w:bookmarkStart w:id="28" w:name="_Toc17381"/>
      <w:bookmarkStart w:id="29" w:name="_Toc44492402"/>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 质量标准</w:t>
      </w:r>
      <w:bookmarkEnd w:id="27"/>
      <w:bookmarkEnd w:id="28"/>
      <w:bookmarkEnd w:id="29"/>
    </w:p>
    <w:p>
      <w:pPr>
        <w:pStyle w:val="52"/>
        <w:ind w:firstLine="420"/>
        <w:rPr>
          <w:rFonts w:eastAsia="宋体"/>
          <w:color w:val="000000" w:themeColor="text1"/>
          <w:kern w:val="2"/>
          <w:szCs w:val="22"/>
          <w:highlight w:val="none"/>
          <w:u w:val="single"/>
          <w14:textFill>
            <w14:solidFill>
              <w14:schemeClr w14:val="tx1"/>
            </w14:solidFill>
          </w14:textFill>
        </w:rPr>
      </w:pP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.1.</w:t>
      </w:r>
      <w:r>
        <w:rPr>
          <w:rFonts w:hint="eastAsia" w:eastAsia="宋体"/>
          <w:color w:val="000000" w:themeColor="text1"/>
          <w:kern w:val="2"/>
          <w:szCs w:val="22"/>
          <w:highlight w:val="none"/>
          <w:u w:val="single"/>
          <w14:textFill>
            <w14:solidFill>
              <w14:schemeClr w14:val="tx1"/>
            </w14:solidFill>
          </w14:textFill>
        </w:rPr>
        <w:t>应达到《建筑工程质量标准》《建筑工程施工质量验收统一标准》《建筑装饰装修工程质量验收规范》等国家规范、行业标准、地方标准等相关要求，确保分部分项工程达到100%合格，一次性验收合格，通过竣工备案并确保送电，达到合格质量标准。</w:t>
      </w:r>
    </w:p>
    <w:p>
      <w:pPr>
        <w:adjustRightInd w:val="0"/>
        <w:snapToGrid w:val="0"/>
        <w:spacing w:line="360" w:lineRule="auto"/>
        <w:ind w:firstLine="420" w:firstLineChars="200"/>
        <w:rPr>
          <w:color w:val="000000" w:themeColor="text1"/>
          <w:highlight w:val="none"/>
          <w:u w:val="single"/>
          <w14:textFill>
            <w14:solidFill>
              <w14:schemeClr w14:val="tx1"/>
            </w14:solidFill>
          </w14:textFill>
        </w:rPr>
      </w:pP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.2.</w:t>
      </w:r>
      <w:r>
        <w:rPr>
          <w:rFonts w:hint="eastAsia"/>
          <w:color w:val="000000" w:themeColor="text1"/>
          <w:highlight w:val="none"/>
          <w:u w:val="single"/>
          <w14:textFill>
            <w14:solidFill>
              <w14:schemeClr w14:val="tx1"/>
            </w14:solidFill>
          </w14:textFill>
        </w:rPr>
        <w:t>如技术文件、设计图纸（含设计说明）中确定适用的技术标准或规范要求、检验测试要求及验收要求不一致时，本工程实施按其中标准较高、要求较严格的要求执行。</w:t>
      </w:r>
    </w:p>
    <w:p>
      <w:pPr>
        <w:pStyle w:val="73"/>
        <w:rPr>
          <w:color w:val="000000" w:themeColor="text1"/>
          <w:highlight w:val="none"/>
          <w14:textFill>
            <w14:solidFill>
              <w14:schemeClr w14:val="tx1"/>
            </w14:solidFill>
          </w14:textFill>
        </w:rPr>
      </w:pPr>
      <w:bookmarkStart w:id="30" w:name="_Toc28544"/>
      <w:bookmarkStart w:id="31" w:name="_Toc44492403"/>
      <w:bookmarkStart w:id="32" w:name="_Toc10430"/>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.安全</w:t>
      </w:r>
      <w:bookmarkEnd w:id="30"/>
      <w:bookmarkEnd w:id="31"/>
      <w:bookmarkEnd w:id="32"/>
      <w:r>
        <w:rPr>
          <w:rFonts w:hint="eastAsia"/>
          <w:color w:val="000000" w:themeColor="text1"/>
          <w:highlight w:val="none"/>
          <w14:textFill>
            <w14:solidFill>
              <w14:schemeClr w14:val="tx1"/>
            </w14:solidFill>
          </w14:textFill>
        </w:rPr>
        <w:t>生产目标</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确保不发生亡人及以上生产安全责任事故，工伤频率控制在</w:t>
      </w:r>
      <w:r>
        <w:rPr>
          <w:rFonts w:hint="eastAsia" w:ascii="宋体" w:hAnsi="宋体" w:eastAsia="宋体" w:cs="宋体"/>
          <w:color w:val="000000" w:themeColor="text1"/>
          <w:highlight w:val="none"/>
          <w:u w:val="single"/>
          <w14:textFill>
            <w14:solidFill>
              <w14:schemeClr w14:val="tx1"/>
            </w14:solidFill>
          </w14:textFill>
        </w:rPr>
        <w:t xml:space="preserve"> 广州 </w:t>
      </w:r>
      <w:r>
        <w:rPr>
          <w:rFonts w:hint="eastAsia" w:ascii="宋体" w:hAnsi="宋体" w:eastAsia="宋体" w:cs="宋体"/>
          <w:color w:val="000000" w:themeColor="text1"/>
          <w:highlight w:val="none"/>
          <w14:textFill>
            <w14:solidFill>
              <w14:schemeClr w14:val="tx1"/>
            </w14:solidFill>
          </w14:textFill>
        </w:rPr>
        <w:t>市建筑施工安全管理法规规定的指标要求范围内。</w:t>
      </w:r>
    </w:p>
    <w:p>
      <w:pPr>
        <w:pStyle w:val="73"/>
        <w:rPr>
          <w:color w:val="000000" w:themeColor="text1"/>
          <w:highlight w:val="none"/>
          <w14:textFill>
            <w14:solidFill>
              <w14:schemeClr w14:val="tx1"/>
            </w14:solidFill>
          </w14:textFill>
        </w:rPr>
      </w:pPr>
      <w:bookmarkStart w:id="33" w:name="_Toc44492404"/>
      <w:bookmarkStart w:id="34" w:name="_Toc29176"/>
      <w:bookmarkStart w:id="35" w:name="_Toc27904"/>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 签约合同价</w:t>
      </w:r>
      <w:bookmarkEnd w:id="33"/>
      <w:bookmarkEnd w:id="34"/>
      <w:bookmarkEnd w:id="35"/>
      <w:r>
        <w:rPr>
          <w:rFonts w:hint="eastAsia"/>
          <w:color w:val="000000" w:themeColor="text1"/>
          <w:highlight w:val="none"/>
          <w14:textFill>
            <w14:solidFill>
              <w14:schemeClr w14:val="tx1"/>
            </w14:solidFill>
          </w14:textFill>
        </w:rPr>
        <w:t>格</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本合同签约合同价格暂定为：￥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元（大写：人民币</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）。其中：不含税签约合同价格为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 xml:space="preserve">元，增值税税率为9%，增值税为 </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元。签约合同价格组成如下：</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（1）红线外工程价格为：￥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元，不含税价格为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（2）红线内工程价格（母线槽除外）为：￥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元，不含税价格为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（3）母线槽工程价格为：￥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元，不含税价格为</w:t>
      </w:r>
      <w:r>
        <w:rPr>
          <w:rFonts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元；</w:t>
      </w:r>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签约合同价格组成明细具体详见本合同附件8《已标价工程量清单》。</w:t>
      </w:r>
    </w:p>
    <w:p>
      <w:pPr>
        <w:pStyle w:val="52"/>
        <w:ind w:firstLine="420"/>
        <w:rPr>
          <w:color w:val="000000" w:themeColor="text1"/>
          <w:highlight w:val="none"/>
          <w14:textFill>
            <w14:solidFill>
              <w14:schemeClr w14:val="tx1"/>
            </w14:solidFill>
          </w14:textFill>
        </w:rPr>
      </w:pPr>
      <w:r>
        <w:rPr>
          <w:rFonts w:hint="eastAsia" w:eastAsia="宋体"/>
          <w:color w:val="000000" w:themeColor="text1"/>
          <w:kern w:val="2"/>
          <w:szCs w:val="22"/>
          <w:highlight w:val="none"/>
          <w:u w:val="single"/>
          <w14:textFill>
            <w14:solidFill>
              <w14:schemeClr w14:val="tx1"/>
            </w14:solidFill>
          </w14:textFill>
        </w:rPr>
        <w:t>若遇政策性调整增值税税率的，分包人提供增值税专用发票的增值税税率按当期国家税务总局政策性调整后的增值税税率执行；承包人按当次应付金额对应的不含增值税价款及调整后的增值税税率计算的增值税税费进行支付。</w:t>
      </w:r>
      <w:bookmarkStart w:id="36" w:name="_Toc12138"/>
      <w:bookmarkStart w:id="37" w:name="_Toc20860"/>
      <w:bookmarkStart w:id="38" w:name="_Toc44492405"/>
    </w:p>
    <w:p>
      <w:pPr>
        <w:pStyle w:val="73"/>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 合同份数及生效</w:t>
      </w:r>
      <w:bookmarkEnd w:id="36"/>
      <w:bookmarkEnd w:id="37"/>
      <w:bookmarkEnd w:id="38"/>
    </w:p>
    <w:p>
      <w:pPr>
        <w:pStyle w:val="52"/>
        <w:ind w:firstLine="42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本合同一式</w:t>
      </w:r>
      <w:r>
        <w:rPr>
          <w:rFonts w:hint="eastAsia"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份，发包人执</w:t>
      </w:r>
      <w:r>
        <w:rPr>
          <w:rFonts w:hint="eastAsia" w:ascii="宋体" w:hAnsi="宋体" w:eastAsia="宋体" w:cs="宋体"/>
          <w:color w:val="000000" w:themeColor="text1"/>
          <w:highlight w:val="none"/>
          <w:u w:val="single"/>
          <w14:textFill>
            <w14:solidFill>
              <w14:schemeClr w14:val="tx1"/>
            </w14:solidFill>
          </w14:textFill>
        </w:rPr>
        <w:t xml:space="preserve"> 叁  </w:t>
      </w:r>
      <w:r>
        <w:rPr>
          <w:rFonts w:hint="eastAsia" w:ascii="宋体" w:hAnsi="宋体" w:eastAsia="宋体" w:cs="宋体"/>
          <w:color w:val="000000" w:themeColor="text1"/>
          <w:highlight w:val="none"/>
          <w14:textFill>
            <w14:solidFill>
              <w14:schemeClr w14:val="tx1"/>
            </w14:solidFill>
          </w14:textFill>
        </w:rPr>
        <w:t>份，承包人执</w:t>
      </w:r>
      <w:r>
        <w:rPr>
          <w:rFonts w:hint="eastAsia"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份，分包人执</w:t>
      </w:r>
      <w:r>
        <w:rPr>
          <w:rFonts w:hint="eastAsia" w:ascii="宋体" w:hAnsi="宋体" w:eastAsia="宋体" w:cs="宋体"/>
          <w:color w:val="000000" w:themeColor="text1"/>
          <w:highlight w:val="none"/>
          <w:u w:val="single"/>
          <w14:textFill>
            <w14:solidFill>
              <w14:schemeClr w14:val="tx1"/>
            </w14:solidFill>
          </w14:textFill>
        </w:rPr>
        <w:t xml:space="preserve">   </w:t>
      </w:r>
      <w:r>
        <w:rPr>
          <w:rFonts w:hint="eastAsia" w:ascii="宋体" w:hAnsi="宋体" w:eastAsia="宋体" w:cs="宋体"/>
          <w:color w:val="000000" w:themeColor="text1"/>
          <w:highlight w:val="none"/>
          <w14:textFill>
            <w14:solidFill>
              <w14:schemeClr w14:val="tx1"/>
            </w14:solidFill>
          </w14:textFill>
        </w:rPr>
        <w:t>份。本合同经承包人、分包人双方加盖公章或合同专用章，法定代表人或其委托代理人签字或盖章生效。</w:t>
      </w:r>
    </w:p>
    <w:p>
      <w:pPr>
        <w:widowControl/>
        <w:jc w:val="left"/>
        <w:rPr>
          <w:rFonts w:eastAsia="仿宋_GB2312"/>
          <w:color w:val="000000" w:themeColor="text1"/>
          <w:kern w:val="0"/>
          <w:szCs w:val="32"/>
          <w:highlight w:val="none"/>
          <w14:textFill>
            <w14:solidFill>
              <w14:schemeClr w14:val="tx1"/>
            </w14:solidFill>
          </w14:textFill>
        </w:rPr>
      </w:pPr>
    </w:p>
    <w:p>
      <w:pPr>
        <w:pStyle w:val="52"/>
        <w:ind w:firstLine="0" w:firstLineChars="0"/>
        <w:rPr>
          <w:rFonts w:ascii="宋体" w:hAnsi="宋体" w:eastAsia="宋体" w:cs="宋体"/>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（本页为签署页，无正文）</w:t>
      </w: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113"/>
        <w:snapToGrid w:val="0"/>
        <w:spacing w:before="0" w:after="0" w:line="360" w:lineRule="auto"/>
        <w:ind w:left="0" w:right="244"/>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承包人（公章）：</w:t>
      </w:r>
      <w:r>
        <w:rPr>
          <w:rFonts w:hint="eastAsia" w:ascii="宋体" w:hAnsi="宋体" w:cs="宋体"/>
          <w:snapToGrid w:val="0"/>
          <w:color w:val="000000" w:themeColor="text1"/>
          <w:sz w:val="21"/>
          <w:szCs w:val="21"/>
          <w:highlight w:val="none"/>
          <w14:textFill>
            <w14:solidFill>
              <w14:schemeClr w14:val="tx1"/>
            </w14:solidFill>
          </w14:textFill>
        </w:rPr>
        <w:t xml:space="preserve">  </w:t>
      </w:r>
      <w:r>
        <w:rPr>
          <w:rFonts w:hint="eastAsia" w:ascii="宋体" w:hAnsi="宋体"/>
          <w:snapToGrid w:val="0"/>
          <w:color w:val="000000" w:themeColor="text1"/>
          <w:sz w:val="21"/>
          <w:szCs w:val="21"/>
          <w:highlight w:val="none"/>
          <w14:textFill>
            <w14:solidFill>
              <w14:schemeClr w14:val="tx1"/>
            </w14:solidFill>
          </w14:textFill>
        </w:rPr>
        <w:t xml:space="preserve">                   </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地  址：                    </w:t>
      </w:r>
      <w:r>
        <w:rPr>
          <w:rFonts w:ascii="宋体" w:hAnsi="宋体"/>
          <w:snapToGrid w:val="0"/>
          <w:color w:val="000000" w:themeColor="text1"/>
          <w:sz w:val="21"/>
          <w:szCs w:val="21"/>
          <w:highlight w:val="none"/>
          <w14:textFill>
            <w14:solidFill>
              <w14:schemeClr w14:val="tx1"/>
            </w14:solidFill>
          </w14:textFill>
        </w:rPr>
        <w:t xml:space="preserve"> </w:t>
      </w:r>
      <w:r>
        <w:rPr>
          <w:rFonts w:hint="eastAsia" w:ascii="宋体" w:hAnsi="宋体"/>
          <w:snapToGrid w:val="0"/>
          <w:color w:val="000000" w:themeColor="text1"/>
          <w:sz w:val="21"/>
          <w:szCs w:val="21"/>
          <w:highlight w:val="none"/>
          <w14:textFill>
            <w14:solidFill>
              <w14:schemeClr w14:val="tx1"/>
            </w14:solidFill>
          </w14:textFill>
        </w:rPr>
        <w:t xml:space="preserve"> </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法定代表人或委托代理人：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电  话：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开户银行：</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账   号：</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签订日期：     年    月   日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分包人（公章）：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地   址：</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法定代表人或委托代理人：</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电  话：</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开 户 银 行：</w:t>
      </w: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 xml:space="preserve">账  号：                                </w:t>
      </w:r>
    </w:p>
    <w:p>
      <w:pPr>
        <w:pStyle w:val="113"/>
        <w:snapToGrid w:val="0"/>
        <w:spacing w:before="0" w:after="0" w:line="360" w:lineRule="auto"/>
        <w:ind w:left="0" w:right="720"/>
        <w:rPr>
          <w:rFonts w:ascii="宋体" w:hAnsi="宋体"/>
          <w:snapToGrid w:val="0"/>
          <w:color w:val="000000" w:themeColor="text1"/>
          <w:sz w:val="21"/>
          <w:szCs w:val="21"/>
          <w:highlight w:val="none"/>
          <w14:textFill>
            <w14:solidFill>
              <w14:schemeClr w14:val="tx1"/>
            </w14:solidFill>
          </w14:textFill>
        </w:rPr>
      </w:pPr>
    </w:p>
    <w:p>
      <w:pPr>
        <w:pStyle w:val="113"/>
        <w:snapToGrid w:val="0"/>
        <w:spacing w:before="0" w:after="0" w:line="360" w:lineRule="auto"/>
        <w:ind w:left="0" w:right="720"/>
        <w:rPr>
          <w:rFonts w:ascii="宋体"/>
          <w:snapToGrid w:val="0"/>
          <w:color w:val="000000" w:themeColor="text1"/>
          <w:sz w:val="21"/>
          <w:szCs w:val="21"/>
          <w:highlight w:val="none"/>
          <w14:textFill>
            <w14:solidFill>
              <w14:schemeClr w14:val="tx1"/>
            </w14:solidFill>
          </w14:textFill>
        </w:rPr>
      </w:pPr>
      <w:r>
        <w:rPr>
          <w:rFonts w:hint="eastAsia" w:ascii="宋体" w:hAnsi="宋体"/>
          <w:snapToGrid w:val="0"/>
          <w:color w:val="000000" w:themeColor="text1"/>
          <w:sz w:val="21"/>
          <w:szCs w:val="21"/>
          <w:highlight w:val="none"/>
          <w14:textFill>
            <w14:solidFill>
              <w14:schemeClr w14:val="tx1"/>
            </w14:solidFill>
          </w14:textFill>
        </w:rPr>
        <w:t>签订日期：     年    月   日</w:t>
      </w:r>
    </w:p>
    <w:p>
      <w:pPr>
        <w:pStyle w:val="52"/>
        <w:ind w:firstLine="0" w:firstLineChars="0"/>
        <w:rPr>
          <w:color w:val="000000" w:themeColor="text1"/>
          <w:highlight w:val="none"/>
          <w14:textFill>
            <w14:solidFill>
              <w14:schemeClr w14:val="tx1"/>
            </w14:solidFill>
          </w14:textFill>
        </w:rPr>
      </w:pPr>
    </w:p>
    <w:p>
      <w:pPr>
        <w:pStyle w:val="68"/>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bookmarkStart w:id="39" w:name="_Toc118446906"/>
      <w:bookmarkStart w:id="40" w:name="_Toc44227949"/>
      <w:bookmarkStart w:id="41" w:name="_Toc27237"/>
      <w:bookmarkStart w:id="42" w:name="_Toc4504"/>
      <w:bookmarkStart w:id="43" w:name="_Toc40186510"/>
      <w:bookmarkStart w:id="44" w:name="_Toc44492406"/>
      <w:bookmarkStart w:id="45" w:name="_Toc1924"/>
      <w:bookmarkStart w:id="46" w:name="_Toc402450437"/>
      <w:r>
        <w:rPr>
          <w:rFonts w:hint="eastAsia"/>
          <w:color w:val="000000" w:themeColor="text1"/>
          <w:highlight w:val="none"/>
          <w14:textFill>
            <w14:solidFill>
              <w14:schemeClr w14:val="tx1"/>
            </w14:solidFill>
          </w14:textFill>
        </w:rPr>
        <w:t>第二部分 通用条款</w:t>
      </w:r>
      <w:bookmarkEnd w:id="39"/>
      <w:bookmarkEnd w:id="40"/>
      <w:bookmarkEnd w:id="41"/>
      <w:bookmarkEnd w:id="42"/>
      <w:bookmarkEnd w:id="43"/>
      <w:bookmarkEnd w:id="44"/>
      <w:bookmarkEnd w:id="45"/>
      <w:bookmarkEnd w:id="46"/>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bookmarkStart w:id="47" w:name="_Toc402450438"/>
      <w:r>
        <w:rPr>
          <w:rFonts w:hint="eastAsia" w:ascii="仿宋" w:hAnsi="仿宋" w:eastAsia="仿宋"/>
          <w:b w:val="0"/>
          <w:color w:val="000000" w:themeColor="text1"/>
          <w:szCs w:val="28"/>
          <w:highlight w:val="none"/>
          <w14:textFill>
            <w14:solidFill>
              <w14:schemeClr w14:val="tx1"/>
            </w14:solidFill>
          </w14:textFill>
        </w:rPr>
        <w:fldChar w:fldCharType="begin"/>
      </w:r>
      <w:r>
        <w:rPr>
          <w:rFonts w:hint="eastAsia" w:ascii="仿宋" w:hAnsi="仿宋" w:eastAsia="仿宋"/>
          <w:b w:val="0"/>
          <w:color w:val="000000" w:themeColor="text1"/>
          <w:szCs w:val="28"/>
          <w:highlight w:val="none"/>
          <w14:textFill>
            <w14:solidFill>
              <w14:schemeClr w14:val="tx1"/>
            </w14:solidFill>
          </w14:textFill>
        </w:rPr>
        <w:instrText xml:space="preserve"> TOC \b p2 \o "1-2" \h \z \u </w:instrText>
      </w:r>
      <w:r>
        <w:rPr>
          <w:rFonts w:hint="eastAsia" w:ascii="仿宋" w:hAnsi="仿宋" w:eastAsia="仿宋"/>
          <w:b w:val="0"/>
          <w:color w:val="000000" w:themeColor="text1"/>
          <w:szCs w:val="28"/>
          <w:highlight w:val="none"/>
          <w14:textFill>
            <w14:solidFill>
              <w14:schemeClr w14:val="tx1"/>
            </w14:solidFill>
          </w14:textFill>
        </w:rPr>
        <w:fldChar w:fldCharType="separate"/>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w:t>
      </w:r>
      <w:r>
        <w:rPr>
          <w:rStyle w:val="44"/>
          <w:rFonts w:hint="eastAsia"/>
          <w:b w:val="0"/>
          <w:color w:val="000000" w:themeColor="text1"/>
          <w:sz w:val="24"/>
          <w:szCs w:val="24"/>
          <w:highlight w:val="none"/>
          <w14:textFill>
            <w14:solidFill>
              <w14:schemeClr w14:val="tx1"/>
            </w14:solidFill>
          </w14:textFill>
        </w:rPr>
        <w:t>一般约定</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w:t>
      </w:r>
      <w:r>
        <w:rPr>
          <w:rStyle w:val="44"/>
          <w:rFonts w:hint="eastAsia"/>
          <w:b w:val="0"/>
          <w:color w:val="000000" w:themeColor="text1"/>
          <w:sz w:val="24"/>
          <w:szCs w:val="24"/>
          <w:highlight w:val="none"/>
          <w14:textFill>
            <w14:solidFill>
              <w14:schemeClr w14:val="tx1"/>
            </w14:solidFill>
          </w14:textFill>
        </w:rPr>
        <w:t>承包人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3.</w:t>
      </w:r>
      <w:r>
        <w:rPr>
          <w:rStyle w:val="44"/>
          <w:rFonts w:hint="eastAsia"/>
          <w:b w:val="0"/>
          <w:color w:val="000000" w:themeColor="text1"/>
          <w:sz w:val="24"/>
          <w:szCs w:val="24"/>
          <w:highlight w:val="none"/>
          <w14:textFill>
            <w14:solidFill>
              <w14:schemeClr w14:val="tx1"/>
            </w14:solidFill>
          </w14:textFill>
        </w:rPr>
        <w:t>监理人及造价咨询人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4.</w:t>
      </w:r>
      <w:r>
        <w:rPr>
          <w:rStyle w:val="44"/>
          <w:rFonts w:hint="eastAsia"/>
          <w:b w:val="0"/>
          <w:color w:val="000000" w:themeColor="text1"/>
          <w:sz w:val="24"/>
          <w:szCs w:val="24"/>
          <w:highlight w:val="none"/>
          <w14:textFill>
            <w14:solidFill>
              <w14:schemeClr w14:val="tx1"/>
            </w14:solidFill>
          </w14:textFill>
        </w:rPr>
        <w:t>分包人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20</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5.</w:t>
      </w:r>
      <w:r>
        <w:rPr>
          <w:rStyle w:val="44"/>
          <w:rFonts w:hint="eastAsia"/>
          <w:b w:val="0"/>
          <w:color w:val="000000" w:themeColor="text1"/>
          <w:sz w:val="24"/>
          <w:szCs w:val="24"/>
          <w:highlight w:val="none"/>
          <w14:textFill>
            <w14:solidFill>
              <w14:schemeClr w14:val="tx1"/>
            </w14:solidFill>
          </w14:textFill>
        </w:rPr>
        <w:t>材料和工程设备</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24</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6.</w:t>
      </w:r>
      <w:r>
        <w:rPr>
          <w:rStyle w:val="44"/>
          <w:rFonts w:hint="eastAsia"/>
          <w:b w:val="0"/>
          <w:color w:val="000000" w:themeColor="text1"/>
          <w:sz w:val="24"/>
          <w:szCs w:val="24"/>
          <w:highlight w:val="none"/>
          <w14:textFill>
            <w14:solidFill>
              <w14:schemeClr w14:val="tx1"/>
            </w14:solidFill>
          </w14:textFill>
        </w:rPr>
        <w:t>施工设备和临时设施</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"_Toc91082299"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7.</w:t>
      </w:r>
      <w:r>
        <w:rPr>
          <w:rStyle w:val="44"/>
          <w:rFonts w:hint="eastAsia"/>
          <w:b w:val="0"/>
          <w:color w:val="000000" w:themeColor="text1"/>
          <w:sz w:val="24"/>
          <w:szCs w:val="24"/>
          <w:highlight w:val="none"/>
          <w14:textFill>
            <w14:solidFill>
              <w14:schemeClr w14:val="tx1"/>
            </w14:solidFill>
          </w14:textFill>
        </w:rPr>
        <w:t>交通运输</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_Toc91082299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"_Toc91082300"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8.</w:t>
      </w:r>
      <w:r>
        <w:rPr>
          <w:rStyle w:val="44"/>
          <w:rFonts w:hint="eastAsia"/>
          <w:b w:val="0"/>
          <w:color w:val="000000" w:themeColor="text1"/>
          <w:sz w:val="24"/>
          <w:szCs w:val="24"/>
          <w:highlight w:val="none"/>
          <w14:textFill>
            <w14:solidFill>
              <w14:schemeClr w14:val="tx1"/>
            </w14:solidFill>
          </w14:textFill>
        </w:rPr>
        <w:t>测量放线</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_Toc91082300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"_Toc91082301"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9.</w:t>
      </w:r>
      <w:r>
        <w:rPr>
          <w:rStyle w:val="44"/>
          <w:rFonts w:hint="eastAsia"/>
          <w:b w:val="0"/>
          <w:color w:val="000000" w:themeColor="text1"/>
          <w:sz w:val="24"/>
          <w:szCs w:val="24"/>
          <w:highlight w:val="none"/>
          <w14:textFill>
            <w14:solidFill>
              <w14:schemeClr w14:val="tx1"/>
            </w14:solidFill>
          </w14:textFill>
        </w:rPr>
        <w:t>施工安全、治安保卫和环境保护</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_Toc91082301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28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"_Toc91082302"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10.</w:t>
      </w:r>
      <w:r>
        <w:rPr>
          <w:rStyle w:val="44"/>
          <w:rFonts w:hint="eastAsia"/>
          <w:b w:val="0"/>
          <w:color w:val="000000" w:themeColor="text1"/>
          <w:sz w:val="24"/>
          <w:szCs w:val="24"/>
          <w:highlight w:val="none"/>
          <w14:textFill>
            <w14:solidFill>
              <w14:schemeClr w14:val="tx1"/>
            </w14:solidFill>
          </w14:textFill>
        </w:rPr>
        <w:t>进度计划</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_Toc91082302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30</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11.</w:t>
      </w:r>
      <w:r>
        <w:rPr>
          <w:rStyle w:val="44"/>
          <w:rFonts w:hint="eastAsia"/>
          <w:b w:val="0"/>
          <w:color w:val="000000" w:themeColor="text1"/>
          <w:sz w:val="24"/>
          <w:szCs w:val="24"/>
          <w:highlight w:val="none"/>
          <w14:textFill>
            <w14:solidFill>
              <w14:schemeClr w14:val="tx1"/>
            </w14:solidFill>
          </w14:textFill>
        </w:rPr>
        <w:t>开工和竣工</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12.</w:t>
      </w:r>
      <w:r>
        <w:rPr>
          <w:rStyle w:val="44"/>
          <w:rFonts w:hint="eastAsia"/>
          <w:b w:val="0"/>
          <w:color w:val="000000" w:themeColor="text1"/>
          <w:sz w:val="24"/>
          <w:szCs w:val="24"/>
          <w:highlight w:val="none"/>
          <w14:textFill>
            <w14:solidFill>
              <w14:schemeClr w14:val="tx1"/>
            </w14:solidFill>
          </w14:textFill>
        </w:rPr>
        <w:t>暂停施工</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32</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13.</w:t>
      </w:r>
      <w:r>
        <w:rPr>
          <w:rStyle w:val="44"/>
          <w:rFonts w:hint="eastAsia"/>
          <w:b w:val="0"/>
          <w:color w:val="000000" w:themeColor="text1"/>
          <w:sz w:val="24"/>
          <w:szCs w:val="24"/>
          <w:highlight w:val="none"/>
          <w14:textFill>
            <w14:solidFill>
              <w14:schemeClr w14:val="tx1"/>
            </w14:solidFill>
          </w14:textFill>
        </w:rPr>
        <w:t>工程质量</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33</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14.</w:t>
      </w:r>
      <w:r>
        <w:rPr>
          <w:rStyle w:val="44"/>
          <w:rFonts w:hint="eastAsia"/>
          <w:b w:val="0"/>
          <w:color w:val="000000" w:themeColor="text1"/>
          <w:sz w:val="24"/>
          <w:szCs w:val="24"/>
          <w:highlight w:val="none"/>
          <w14:textFill>
            <w14:solidFill>
              <w14:schemeClr w14:val="tx1"/>
            </w14:solidFill>
          </w14:textFill>
        </w:rPr>
        <w:t>试验和检验</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15.</w:t>
      </w:r>
      <w:r>
        <w:rPr>
          <w:rStyle w:val="44"/>
          <w:rFonts w:hint="eastAsia"/>
          <w:b w:val="0"/>
          <w:color w:val="000000" w:themeColor="text1"/>
          <w:sz w:val="24"/>
          <w:szCs w:val="24"/>
          <w:highlight w:val="none"/>
          <w14:textFill>
            <w14:solidFill>
              <w14:schemeClr w14:val="tx1"/>
            </w14:solidFill>
          </w14:textFill>
        </w:rPr>
        <w:t>变更</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36</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16.</w:t>
      </w:r>
      <w:r>
        <w:rPr>
          <w:rStyle w:val="44"/>
          <w:rFonts w:hint="eastAsia"/>
          <w:b w:val="0"/>
          <w:color w:val="000000" w:themeColor="text1"/>
          <w:sz w:val="24"/>
          <w:szCs w:val="24"/>
          <w:highlight w:val="none"/>
          <w14:textFill>
            <w14:solidFill>
              <w14:schemeClr w14:val="tx1"/>
            </w14:solidFill>
          </w14:textFill>
        </w:rPr>
        <w:t>价格调整</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"_Toc91082309"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17.</w:t>
      </w:r>
      <w:r>
        <w:rPr>
          <w:rStyle w:val="44"/>
          <w:rFonts w:hint="eastAsia"/>
          <w:b w:val="0"/>
          <w:color w:val="000000" w:themeColor="text1"/>
          <w:sz w:val="24"/>
          <w:szCs w:val="24"/>
          <w:highlight w:val="none"/>
          <w14:textFill>
            <w14:solidFill>
              <w14:schemeClr w14:val="tx1"/>
            </w14:solidFill>
          </w14:textFill>
        </w:rPr>
        <w:t>计量与支付</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_Toc91082309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37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"_Toc91082310"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18.</w:t>
      </w:r>
      <w:r>
        <w:rPr>
          <w:rStyle w:val="44"/>
          <w:rFonts w:hint="eastAsia"/>
          <w:b w:val="0"/>
          <w:color w:val="000000" w:themeColor="text1"/>
          <w:sz w:val="24"/>
          <w:szCs w:val="24"/>
          <w:highlight w:val="none"/>
          <w14:textFill>
            <w14:solidFill>
              <w14:schemeClr w14:val="tx1"/>
            </w14:solidFill>
          </w14:textFill>
        </w:rPr>
        <w:t>竣工验收</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_Toc91082310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40</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"_Toc91082311"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19.</w:t>
      </w:r>
      <w:r>
        <w:rPr>
          <w:rStyle w:val="44"/>
          <w:rFonts w:hint="eastAsia"/>
          <w:b w:val="0"/>
          <w:color w:val="000000" w:themeColor="text1"/>
          <w:sz w:val="24"/>
          <w:szCs w:val="24"/>
          <w:highlight w:val="none"/>
          <w14:textFill>
            <w14:solidFill>
              <w14:schemeClr w14:val="tx1"/>
            </w14:solidFill>
          </w14:textFill>
        </w:rPr>
        <w:t>缺陷责任与保修</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_Toc91082311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43</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"_Toc91082312"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20.</w:t>
      </w:r>
      <w:r>
        <w:rPr>
          <w:rStyle w:val="44"/>
          <w:rFonts w:hint="eastAsia"/>
          <w:b w:val="0"/>
          <w:color w:val="000000" w:themeColor="text1"/>
          <w:sz w:val="24"/>
          <w:szCs w:val="24"/>
          <w:highlight w:val="none"/>
          <w14:textFill>
            <w14:solidFill>
              <w14:schemeClr w14:val="tx1"/>
            </w14:solidFill>
          </w14:textFill>
        </w:rPr>
        <w:t>保险</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_Toc91082312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44</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21.</w:t>
      </w:r>
      <w:r>
        <w:rPr>
          <w:rStyle w:val="44"/>
          <w:rFonts w:hint="eastAsia"/>
          <w:b w:val="0"/>
          <w:color w:val="000000" w:themeColor="text1"/>
          <w:sz w:val="24"/>
          <w:szCs w:val="24"/>
          <w:highlight w:val="none"/>
          <w14:textFill>
            <w14:solidFill>
              <w14:schemeClr w14:val="tx1"/>
            </w14:solidFill>
          </w14:textFill>
        </w:rPr>
        <w:t>不可抗力</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46</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22.</w:t>
      </w:r>
      <w:r>
        <w:rPr>
          <w:rStyle w:val="44"/>
          <w:rFonts w:hint="eastAsia"/>
          <w:b w:val="0"/>
          <w:color w:val="000000" w:themeColor="text1"/>
          <w:sz w:val="24"/>
          <w:szCs w:val="24"/>
          <w:highlight w:val="none"/>
          <w14:textFill>
            <w14:solidFill>
              <w14:schemeClr w14:val="tx1"/>
            </w14:solidFill>
          </w14:textFill>
        </w:rPr>
        <w:t>违约</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"_Toc91082315"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23.</w:t>
      </w:r>
      <w:r>
        <w:rPr>
          <w:rStyle w:val="44"/>
          <w:rFonts w:hint="eastAsia"/>
          <w:b w:val="0"/>
          <w:color w:val="000000" w:themeColor="text1"/>
          <w:sz w:val="24"/>
          <w:szCs w:val="24"/>
          <w:highlight w:val="none"/>
          <w14:textFill>
            <w14:solidFill>
              <w14:schemeClr w14:val="tx1"/>
            </w14:solidFill>
          </w14:textFill>
        </w:rPr>
        <w:t>争议的解决</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_Toc91082315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49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52"/>
        <w:adjustRightInd/>
        <w:spacing w:line="440" w:lineRule="exact"/>
        <w:ind w:firstLine="0" w:firstLineChars="0"/>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fldChar w:fldCharType="end"/>
      </w:r>
    </w:p>
    <w:p>
      <w:pPr>
        <w:pStyle w:val="52"/>
        <w:ind w:firstLine="0" w:firstLineChars="0"/>
        <w:rPr>
          <w:rFonts w:ascii="仿宋" w:hAnsi="仿宋" w:eastAsia="仿宋"/>
          <w:color w:val="000000" w:themeColor="text1"/>
          <w:highlight w:val="none"/>
          <w14:textFill>
            <w14:solidFill>
              <w14:schemeClr w14:val="tx1"/>
            </w14:solidFill>
          </w14:textFill>
        </w:rPr>
      </w:pPr>
    </w:p>
    <w:p>
      <w:pPr>
        <w:pStyle w:val="73"/>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bookmarkStart w:id="48" w:name="_Toc2981"/>
      <w:bookmarkStart w:id="49" w:name="_Toc407355994"/>
      <w:bookmarkStart w:id="50" w:name="_Toc47512231"/>
      <w:bookmarkStart w:id="51" w:name="_Toc91082293"/>
      <w:bookmarkStart w:id="52" w:name="_Toc44492407"/>
      <w:bookmarkStart w:id="53" w:name="_Toc44227982"/>
      <w:bookmarkStart w:id="54" w:name="_Toc25459"/>
      <w:bookmarkStart w:id="55" w:name="p2"/>
      <w:r>
        <w:rPr>
          <w:rFonts w:hint="eastAsia"/>
          <w:color w:val="000000" w:themeColor="text1"/>
          <w:highlight w:val="none"/>
          <w14:textFill>
            <w14:solidFill>
              <w14:schemeClr w14:val="tx1"/>
            </w14:solidFill>
          </w14:textFill>
        </w:rPr>
        <w:t>1.一般约定</w:t>
      </w:r>
      <w:bookmarkEnd w:id="47"/>
      <w:bookmarkEnd w:id="48"/>
      <w:bookmarkEnd w:id="49"/>
      <w:bookmarkEnd w:id="50"/>
      <w:bookmarkEnd w:id="51"/>
      <w:bookmarkEnd w:id="52"/>
      <w:bookmarkEnd w:id="53"/>
      <w:bookmarkEnd w:id="54"/>
    </w:p>
    <w:p>
      <w:pPr>
        <w:pStyle w:val="77"/>
        <w:ind w:firstLine="480"/>
        <w:rPr>
          <w:color w:val="000000" w:themeColor="text1"/>
          <w:highlight w:val="none"/>
          <w14:textFill>
            <w14:solidFill>
              <w14:schemeClr w14:val="tx1"/>
            </w14:solidFill>
          </w14:textFill>
        </w:rPr>
      </w:pPr>
      <w:bookmarkStart w:id="56" w:name="_Toc23169"/>
      <w:bookmarkStart w:id="57" w:name="_Toc44492408"/>
      <w:bookmarkStart w:id="58" w:name="_Toc11898"/>
      <w:r>
        <w:rPr>
          <w:rFonts w:hint="eastAsia"/>
          <w:color w:val="000000" w:themeColor="text1"/>
          <w:highlight w:val="none"/>
          <w14:textFill>
            <w14:solidFill>
              <w14:schemeClr w14:val="tx1"/>
            </w14:solidFill>
          </w14:textFill>
        </w:rPr>
        <w:t>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词语定义</w:t>
      </w:r>
      <w:bookmarkEnd w:id="56"/>
      <w:bookmarkEnd w:id="57"/>
      <w:bookmarkEnd w:id="5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下列词语除专用条款另有约定外，应具有本条所赋予的定义：</w:t>
      </w:r>
    </w:p>
    <w:p>
      <w:pPr>
        <w:pStyle w:val="75"/>
        <w:ind w:firstLine="422"/>
        <w:rPr>
          <w:color w:val="000000" w:themeColor="text1"/>
          <w:highlight w:val="none"/>
          <w14:textFill>
            <w14:solidFill>
              <w14:schemeClr w14:val="tx1"/>
            </w14:solidFill>
          </w14:textFill>
        </w:rPr>
      </w:pPr>
      <w:bookmarkStart w:id="59" w:name="_Toc20030"/>
      <w:r>
        <w:rPr>
          <w:rFonts w:hint="eastAsia"/>
          <w:color w:val="000000" w:themeColor="text1"/>
          <w:highlight w:val="none"/>
          <w14:textFill>
            <w14:solidFill>
              <w14:schemeClr w14:val="tx1"/>
            </w14:solidFill>
          </w14:textFill>
        </w:rPr>
        <w:t>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w:t>
      </w:r>
      <w:bookmarkEnd w:id="5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合同文件（或称合同或本合同）：指协议书、补充合同、通用条款、专用条款、合同附件、图纸、已标价工程量及单价清单、招标文件、投标文件以及经双方认可的其他有关书面文件。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技术标准和要求：是指构成合同的、施工应当遵守的或指导施工的国家、行业或地方的技术标准和要求，以及合同约定的技术标准和要求。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图纸：指包含在合同中的工程图纸，以及合同履行中由发包人按合同约定提供或批准的任何补充和修改的图纸，包括配套的说明等。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已标价工程量清单：指构成投标文件组成部分的由分包人按照规定的格式和要求填写并标明价格的工程量清单。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中标通知书：指发包人/承包人通知分包人中标的函件。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投标函：指构成投标文件组成部分的由分包人填写并签署的投标函。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投标函附录：指附在投标函后构成合同文件的投标函附录。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8）签证：指合同双方就当事人在施工过程中涉及的责任事件所作的签认证明，该证明须经发包人及监理人确认。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9）变更：指图纸、技术标准和要求在设计、质量或数量上的改变包括工作的增减、变化、更换以及因发包人原因造成的施工条件的改变</w:t>
      </w:r>
      <w:r>
        <w:rPr>
          <w:color w:val="000000" w:themeColor="text1"/>
          <w:highlight w:val="none"/>
          <w14:textFill>
            <w14:solidFill>
              <w14:schemeClr w14:val="tx1"/>
            </w14:solidFill>
          </w14:textFill>
        </w:rPr>
        <w:t>。</w:t>
      </w:r>
    </w:p>
    <w:p>
      <w:pPr>
        <w:pStyle w:val="75"/>
        <w:ind w:firstLine="422"/>
        <w:rPr>
          <w:color w:val="000000" w:themeColor="text1"/>
          <w:highlight w:val="none"/>
          <w14:textFill>
            <w14:solidFill>
              <w14:schemeClr w14:val="tx1"/>
            </w14:solidFill>
          </w14:textFill>
        </w:rPr>
      </w:pPr>
      <w:bookmarkStart w:id="60" w:name="_Toc16917"/>
      <w:r>
        <w:rPr>
          <w:rFonts w:hint="eastAsia"/>
          <w:color w:val="000000" w:themeColor="text1"/>
          <w:highlight w:val="none"/>
          <w14:textFill>
            <w14:solidFill>
              <w14:schemeClr w14:val="tx1"/>
            </w14:solidFill>
          </w14:textFill>
        </w:rPr>
        <w:t>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合同当事人和人员</w:t>
      </w:r>
      <w:bookmarkEnd w:id="6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合同当事人:指承包人和（或）分包人。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发包人：指与承包人签订总承包合同的当事人。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发包人代表：指在总承包合同专用条款中指定的，由发包人任命并派驻施工场地,在发包人授权的权限内行使发包人权利的代表。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4）承包人：指与发包人签订总承包合同，并与分包人签订本专业承包合同的当事人。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5）承包人项目经理：指在专用条款中指明的，由承包人派驻施工现场，负责总承包施工管理的代表。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分包人：指与承包人签订本专业承包合同的当事人。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分包人项目经理：指在专用条款中指明的，分包人派驻施工现场，负责本专业承包工程的施工管理的负责人。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监理人：指受发包人委托对合同履行实施管理的法人或其他组织。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总监理工程师（监理总监）：指经发包人同意后由监理人委派，代表监理人履行监理合同的现场负责人。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造价咨询人：指发包人委托的负责本工程造价控制和管理的组织，以及取得该组织资格的合法继承人。</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设计人：指与发包人签订针对本工程设计合同的法人或其他组织。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顾问：指与发包人签订针对本工程顾问服务的法人或其他组织。</w:t>
      </w:r>
    </w:p>
    <w:p>
      <w:pPr>
        <w:pStyle w:val="75"/>
        <w:ind w:firstLine="422"/>
        <w:rPr>
          <w:color w:val="000000" w:themeColor="text1"/>
          <w:highlight w:val="none"/>
          <w14:textFill>
            <w14:solidFill>
              <w14:schemeClr w14:val="tx1"/>
            </w14:solidFill>
          </w14:textFill>
        </w:rPr>
      </w:pPr>
      <w:bookmarkStart w:id="61" w:name="_Toc11288"/>
      <w:r>
        <w:rPr>
          <w:rFonts w:hint="eastAsia"/>
          <w:color w:val="000000" w:themeColor="text1"/>
          <w:highlight w:val="none"/>
          <w14:textFill>
            <w14:solidFill>
              <w14:schemeClr w14:val="tx1"/>
            </w14:solidFill>
          </w14:textFill>
        </w:rPr>
        <w:t>1.1.3.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工程和设备</w:t>
      </w:r>
      <w:bookmarkEnd w:id="6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工程：指永久工程和（或）临时工程。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永久工程：指按合同约定建造并移交给发包人的工程，包括工程设备。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临时工程：指为完成合同约定的永久工程所修建的各类临时性工程，不包括施工设备。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工程设备：指构成或计划构成永久工程一部分的机电设备、金属结构设备、仪器装置及其他类似的设备和装置。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承包人施工设备：指为完成合同约定的各项工作所需的设备、器具和其他物品，不包括临时工程和材料。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临时设施：指为完成合同约定的各项工作所服务的临时性生产和生活设施。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分包人施工设备：指分包人自带的施工设备。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施工场地（或称工地、现场）：指用于合同工程施工的场所，以及在合同中指定作为施工场地组成部分的其他场所，包括永久占地和临时占地。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永久占地：指为实施合同工程需永久占用的土地。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临时占地：指为实施合同工程需临时占用的土地。</w:t>
      </w:r>
    </w:p>
    <w:p>
      <w:pPr>
        <w:pStyle w:val="75"/>
        <w:ind w:firstLine="422"/>
        <w:rPr>
          <w:color w:val="000000" w:themeColor="text1"/>
          <w:highlight w:val="none"/>
          <w14:textFill>
            <w14:solidFill>
              <w14:schemeClr w14:val="tx1"/>
            </w14:solidFill>
          </w14:textFill>
        </w:rPr>
      </w:pPr>
      <w:bookmarkStart w:id="62" w:name="_Toc8362"/>
      <w:r>
        <w:rPr>
          <w:rFonts w:hint="eastAsia"/>
          <w:color w:val="000000" w:themeColor="text1"/>
          <w:highlight w:val="none"/>
          <w14:textFill>
            <w14:solidFill>
              <w14:schemeClr w14:val="tx1"/>
            </w14:solidFill>
          </w14:textFill>
        </w:rPr>
        <w:t>1.1.4.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日期</w:t>
      </w:r>
      <w:bookmarkEnd w:id="6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开工通知：指经发包人书面同意由承包人发出的通知分包人开工的函件。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开工日期：指经发包人书面同意由承包人发出的开工通知中写明的开工日期。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工期：指经发包人书面同意，承包人和分包人在协议书中约定的，按总日历天数（包括法定节假日）计算的从开工日期至竣工日期的天数。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竣工日期：指经发包人书面同意，承包人和分包人在协议书中约定的本工程项目整体竣工验收合格日期。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项目整体竣工验收合格日期：指发包人与承包人约定的项目整体竣工验收合格日期。</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天：除特别指明外，指日历天。合同中按天计算时间的，从开始之日计算，期限最后一天的截止时间为当天24:00。</w:t>
      </w:r>
    </w:p>
    <w:p>
      <w:pPr>
        <w:pStyle w:val="75"/>
        <w:ind w:firstLine="422"/>
        <w:rPr>
          <w:color w:val="000000" w:themeColor="text1"/>
          <w:highlight w:val="none"/>
          <w14:textFill>
            <w14:solidFill>
              <w14:schemeClr w14:val="tx1"/>
            </w14:solidFill>
          </w14:textFill>
        </w:rPr>
      </w:pPr>
      <w:bookmarkStart w:id="63" w:name="_Toc24978"/>
      <w:r>
        <w:rPr>
          <w:rFonts w:hint="eastAsia"/>
          <w:color w:val="000000" w:themeColor="text1"/>
          <w:highlight w:val="none"/>
          <w14:textFill>
            <w14:solidFill>
              <w14:schemeClr w14:val="tx1"/>
            </w14:solidFill>
          </w14:textFill>
        </w:rPr>
        <w:t>1.1.5.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合同价格和费用</w:t>
      </w:r>
      <w:bookmarkEnd w:id="6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签约合同价格：是指承包人和分包人在合同协议书中确定的总金额，包括绿色施工安全防护措施费、暂估价及暂列金额等。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2）合同价格：是指承包人用于支付分包人按照合同约定完成承包范围内全部工作的金额，包括合同履行过程中按合同约定发生的价格变化。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费用：指为履行合同所发生的或将要发生的所有必需开支，包括管理费和应分摊的其他费用，但不包括利润。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暂估价：指工程量清单中给定的用于支付发生但暂时不能确定价格的材料、设备以及专业工程、服务的金额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暂列金额：是指工程量清单或预算书中暂定并包括在合同价格中的一笔款项，用于工程合同签订时尚未确定或者不可预见的所需材料、工程设备、服务的采购，施工中可能发生的工程变更、合同约定调整因素出现时的合同价格调整以及发生的索赔、现场签证确认等的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计日工：指不能以实物量度的方法计价,而需以点工计算的零星工作。</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6)</w:t>
      </w:r>
      <w:r>
        <w:rPr>
          <w:rFonts w:hint="eastAsia"/>
          <w:bCs/>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质量保证</w:t>
      </w:r>
      <w:r>
        <w:rPr>
          <w:rFonts w:hint="eastAsia"/>
          <w:bCs/>
          <w:color w:val="000000" w:themeColor="text1"/>
          <w:highlight w:val="none"/>
          <w14:textFill>
            <w14:solidFill>
              <w14:schemeClr w14:val="tx1"/>
            </w14:solidFill>
          </w14:textFill>
        </w:rPr>
        <w:t>金：指承包人与分包人在合同中约定，从应付的工程款中预留，用以保证分包人在缺陷责任期内对建设工程出现的缺陷进行维修的资金。</w:t>
      </w:r>
      <w:bookmarkStart w:id="64" w:name="_Toc24492"/>
      <w:bookmarkStart w:id="65" w:name="_Toc44492409"/>
      <w:bookmarkStart w:id="66" w:name="_Toc12894"/>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语言文字</w:t>
      </w:r>
      <w:bookmarkEnd w:id="64"/>
      <w:bookmarkEnd w:id="65"/>
      <w:bookmarkEnd w:id="6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除专用术语外，合同使用的语言文字为中文，必要时专用术语应附有中文注释。若需要使用中文以外的语言文字，由合同当事人双方在专用条款内约定。</w:t>
      </w:r>
    </w:p>
    <w:p>
      <w:pPr>
        <w:pStyle w:val="77"/>
        <w:ind w:firstLine="480"/>
        <w:rPr>
          <w:color w:val="000000" w:themeColor="text1"/>
          <w:highlight w:val="none"/>
          <w14:textFill>
            <w14:solidFill>
              <w14:schemeClr w14:val="tx1"/>
            </w14:solidFill>
          </w14:textFill>
        </w:rPr>
      </w:pPr>
      <w:bookmarkStart w:id="67" w:name="_Toc3291"/>
      <w:bookmarkStart w:id="68" w:name="_Toc6885"/>
      <w:bookmarkStart w:id="69" w:name="_Toc44492410"/>
      <w:r>
        <w:rPr>
          <w:rFonts w:hint="eastAsia"/>
          <w:color w:val="000000" w:themeColor="text1"/>
          <w:highlight w:val="none"/>
          <w14:textFill>
            <w14:solidFill>
              <w14:schemeClr w14:val="tx1"/>
            </w14:solidFill>
          </w14:textFill>
        </w:rPr>
        <w:t>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适用法律、标准及规范</w:t>
      </w:r>
      <w:bookmarkEnd w:id="67"/>
      <w:bookmarkEnd w:id="68"/>
      <w:bookmarkEnd w:id="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合同文件适用《中华人民共和国民法典》《中华人民共和国建筑法》《建设工程质量管理条例》《建设工程安全生产管理条例》等国家现行法律、法规和对本工程有管辖权的各级政府颁布的行政法规。需要特别明示的法律、行政法规由合同当事人双方在专用条款中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双方在专用条款内约定适用国家标准、规范的名称；没有国家标准、规范但有行业标准、规范的，约定适用行业标准、规范的名称；没有国家和行业标准、规范的，约定适用工程所在地地方标准、规范的名称。要求使用国外标准、规范的，应提供中文译本。</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标准、规范之间如有差异，则分包人应无条件执行质量要求高的标准，且承包人无需为此额外支付任何费用，除非承包人另有指示。</w:t>
      </w:r>
    </w:p>
    <w:p>
      <w:pPr>
        <w:pStyle w:val="77"/>
        <w:ind w:firstLine="480"/>
        <w:rPr>
          <w:color w:val="000000" w:themeColor="text1"/>
          <w:highlight w:val="none"/>
          <w14:textFill>
            <w14:solidFill>
              <w14:schemeClr w14:val="tx1"/>
            </w14:solidFill>
          </w14:textFill>
        </w:rPr>
      </w:pPr>
      <w:bookmarkStart w:id="70" w:name="_Toc44492411"/>
      <w:bookmarkStart w:id="71" w:name="_Toc6311"/>
      <w:bookmarkStart w:id="72" w:name="_Toc4365"/>
      <w:r>
        <w:rPr>
          <w:rFonts w:hint="eastAsia"/>
          <w:color w:val="000000" w:themeColor="text1"/>
          <w:highlight w:val="none"/>
          <w14:textFill>
            <w14:solidFill>
              <w14:schemeClr w14:val="tx1"/>
            </w14:solidFill>
          </w14:textFill>
        </w:rPr>
        <w:t>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合同文件的优先顺序</w:t>
      </w:r>
      <w:bookmarkEnd w:id="70"/>
      <w:bookmarkEnd w:id="71"/>
      <w:bookmarkEnd w:id="7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下列文件均为合同的组成部分，互为补充和解释。若合同文件中对本工程质量、进度、安全等要求有不一致的，分包人应在施工前通过承包人向发包人提出，除发包人和承包人明确指示分包人适用何种规定外，以对分包人义务、责任要求高者严者为准；其他内容出现不一致的，除本合同另有明文规定外，按以下排列在前者为准，同一顺序文件出现不一致的，以时间在后者为准；经发包人和承包人认定分包人的有关承诺比顺序在前的文件对发包人更有利的，就该承诺事项以该特定承诺为准。</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1）本合同的补充合同（若有）；</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2）协议书；</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3）中标通知书；</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4）本合同专用条款及合同附件；</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5）本合同通用条款；</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6）技术标准和要求；</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7）图纸,</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8）已标价工程量清单（另册）；</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投标文件（另册，但投标文件以符合招标文件者为准，投标文件承诺的投标人的义务、责任比招标文件更高更严者，适用该等对招标人有利的承诺；投标文件低于招标文件要求的或对招标人不利的，以招标文件为准。）；</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10）招标文件（另册）；</w:t>
      </w:r>
    </w:p>
    <w:p>
      <w:pPr>
        <w:pStyle w:val="52"/>
        <w:ind w:firstLine="840" w:firstLineChars="4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11）经双方认可的其他有关书面文件。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当本合同条款内容或本合同组成文件含糊不清或不相一致，并且不能依据合同约定的解释顺序阐述清楚时，以发包人的解释为准。</w:t>
      </w:r>
    </w:p>
    <w:p>
      <w:pPr>
        <w:pStyle w:val="77"/>
        <w:ind w:firstLine="480"/>
        <w:rPr>
          <w:color w:val="000000" w:themeColor="text1"/>
          <w:highlight w:val="none"/>
          <w14:textFill>
            <w14:solidFill>
              <w14:schemeClr w14:val="tx1"/>
            </w14:solidFill>
          </w14:textFill>
        </w:rPr>
      </w:pPr>
      <w:bookmarkStart w:id="73" w:name="_Toc6825"/>
      <w:bookmarkStart w:id="74" w:name="_Toc8785"/>
      <w:bookmarkStart w:id="75" w:name="_Toc44492412"/>
      <w:r>
        <w:rPr>
          <w:rFonts w:hint="eastAsia"/>
          <w:color w:val="000000" w:themeColor="text1"/>
          <w:highlight w:val="none"/>
          <w14:textFill>
            <w14:solidFill>
              <w14:schemeClr w14:val="tx1"/>
            </w14:solidFill>
          </w14:textFill>
        </w:rPr>
        <w:t>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协议书</w:t>
      </w:r>
      <w:bookmarkEnd w:id="73"/>
      <w:bookmarkEnd w:id="74"/>
      <w:bookmarkEnd w:id="7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分包人按中标通知书规定的时间与承包人签订协议书。</w:t>
      </w:r>
    </w:p>
    <w:p>
      <w:pPr>
        <w:pStyle w:val="77"/>
        <w:ind w:firstLine="480"/>
        <w:rPr>
          <w:color w:val="000000" w:themeColor="text1"/>
          <w:highlight w:val="none"/>
          <w14:textFill>
            <w14:solidFill>
              <w14:schemeClr w14:val="tx1"/>
            </w14:solidFill>
          </w14:textFill>
        </w:rPr>
      </w:pPr>
      <w:bookmarkStart w:id="76" w:name="_Toc44492413"/>
      <w:bookmarkStart w:id="77" w:name="_Toc16821"/>
      <w:bookmarkStart w:id="78" w:name="_Toc20209"/>
      <w:r>
        <w:rPr>
          <w:rFonts w:hint="eastAsia"/>
          <w:color w:val="000000" w:themeColor="text1"/>
          <w:highlight w:val="none"/>
          <w14:textFill>
            <w14:solidFill>
              <w14:schemeClr w14:val="tx1"/>
            </w14:solidFill>
          </w14:textFill>
        </w:rPr>
        <w:t>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图纸和分包人文件</w:t>
      </w:r>
      <w:bookmarkEnd w:id="76"/>
      <w:bookmarkEnd w:id="77"/>
      <w:bookmarkEnd w:id="7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承包人提供的图纸</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承包人提供的图纸和资料的数量与日期在专用条款中约定。分包人需要增加图纸套数的，承包人可代为复制，复制费用由分包人承担。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设计图纸需要修改和(或)补充的，分包人应及时书面报告承包人。承包人收到书面报告确认需要修改和(或)补充后应及时通知发包人予以修改和(或)补充，并在合理的时间内按照合同当事人双方约定的时间和数量提供给分包人。分包人应按照发包人新提供的经设计人修改和(或)补充后的图纸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收到图纸后审查相关图纸中可能存在的不符合法律规定、适用标准、施工规范的任何错误、冲突，并在7天内通过承包人以书面方式报发包人及总监理工程师。对分包人已发现或作为有经验分包人应能发现的任何图纸的错漏碰缺，分包人未发现或发现后未及时报告承包人和发包人而造成工程造价增加或工期延误的，由分包人赔偿发包人损失，且工期不予延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分包人有责任审核与本工程有关所有图纸，并作出协调和相应的配合，不论该等图纸是发自发包人和其它与本工程有关的施工单位。</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分包人保证只将图纸用于本合同履行，不得将图纸的任何部分泄漏给其他无关的第三方。除非因履行合同而必需，否则不经发包人同意，分包人不得为第三方复印、使用、或传输上述文件。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分包人提供的图纸</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需要分包人进行深化设计的，分包人应具有相应的设计资质或委托具有相应设计资质的单位进行设计，并对工程设计的质量负责。分包人应当将相关图纸、规范、计算书及其他资料按专用条款约定的时间及数量报送承包人及监理人，并经监理人报发包人批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分包人在本工程竣工后14天内，须按照专用条款约定的数量提交完整的竣工图给承包人使用，并配合竣工资料归档相关工作，此作为承包人进行工程竣工结算的前提条件。</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1.6.3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承包人逾期提供图纸</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如果承包人收到发包人提供的图纸后，未能按照本合同1.6.1项约定的图纸供应计划向分包人提供合同图纸，并且分包人认为这种行为将要对工程进展造成影响，分包人应就此以书面形式通知承包人、发包人和监理人，同时说明所缺图纸的具体细节并解释该图纸的延误将如何影响工程的进展以及为避免这种影响该图纸必须提供的最晚时间。如果在该最晚时间以前，承包人因发包人原因仍然未能向分包人提供所需的图纸，则分包人应就此进一步通知承包人、发包人和监理人。如果确实影响了关键线路的施工，双方进行协商。</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）如果承包人不能按约定提供图纸，是因为分包人未能提交合同约定应由其提交的图纸或提交的图纸有误，或是因为分包人的其他错误、拖延或其它违约所致，分包人无权要求发包人赔偿损失及顺延工期。</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）如果分包人未能按本项上述约定通知承包人及发包人，分包人无权要求延长工期。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图纸和分包人文件的保管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把一整套的合同文件包括图纸、规范和已标价的工程量清单连同工程开始后签发的一切指示、附加图纸、补充工料规范、资料表和细节存放在工地，以便承包人、发包人、监理人及其工程顾问可随时查阅参考。不论本合同因何种原因中止或终止，分包人均应将前述所有资料无条件交付予承包人及发包人。此作为承包人及发包人进行工程竣工结算的前提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不论是承包人负责提供的还是分包人自费复印或自行深化设计的图纸，其知识产权都属于发包人所有，分包人不得将图纸用于任何本工程施工以外的目的。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作为一个具备相应专业资质及丰富施工经验的承包商，在查阅合同文件或在本工程实施过程中，发现有关的工程设计、工程技术要求、施工图纸或其他资料中有任何差错、遗漏或缺陷，应在施工前不少于三十（30）天前向承包人及发包人提出书面意见。如分包人作为一个专业的有经验的承包商本应发现上述差错、遗漏或缺陷而未发现，或已发现却隐瞒不报，并继续施工，因而导致的质量缺陷、返工修复、工期延误、以及发包人、其他分包人和其他人的经济损失与工期延误等责任，由此造成损失的50%由分包人承担。如分包人已在上述时间内通过承包人向发包人提出发现差错、遗漏或缺陷的书面意见，而发包人及承包人仍决定按原要求施工的，分包人应予以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1.6.5  施工方案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施工方案由分包人负责编制，经承包人及监理人审核后，报发包人书面确认后方可实施。</w:t>
      </w:r>
    </w:p>
    <w:p>
      <w:pPr>
        <w:pStyle w:val="52"/>
        <w:ind w:firstLine="420" w:firstLineChars="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符合以下特点的工作需要编制施工方案：危险性较大、工序较多、工作时间长、涉及多个单位配合、需要协调完成、其他需要报发包人的工作。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3）施工方案不作为本合同工程变更、价格调整、工程量增减、计价计量方式调整、技术标准调整等的依据。</w:t>
      </w:r>
    </w:p>
    <w:p>
      <w:pPr>
        <w:pStyle w:val="77"/>
        <w:ind w:firstLine="480"/>
        <w:rPr>
          <w:color w:val="000000" w:themeColor="text1"/>
          <w:highlight w:val="none"/>
          <w14:textFill>
            <w14:solidFill>
              <w14:schemeClr w14:val="tx1"/>
            </w14:solidFill>
          </w14:textFill>
        </w:rPr>
      </w:pPr>
      <w:bookmarkStart w:id="79" w:name="_Toc44492414"/>
      <w:bookmarkStart w:id="80" w:name="_Toc17332"/>
      <w:bookmarkStart w:id="81" w:name="_Toc7891"/>
      <w:r>
        <w:rPr>
          <w:rFonts w:hint="eastAsia"/>
          <w:color w:val="000000" w:themeColor="text1"/>
          <w:highlight w:val="none"/>
          <w14:textFill>
            <w14:solidFill>
              <w14:schemeClr w14:val="tx1"/>
            </w14:solidFill>
          </w14:textFill>
        </w:rPr>
        <w:t>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转让</w:t>
      </w:r>
      <w:bookmarkEnd w:id="79"/>
      <w:bookmarkEnd w:id="80"/>
      <w:bookmarkEnd w:id="8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除合同另有约定外，未经承包人及发包人同意，分包人不得将合同权利全部或部分转让给第三人，也不得全部或部分转移合同义务。</w:t>
      </w:r>
    </w:p>
    <w:p>
      <w:pPr>
        <w:pStyle w:val="77"/>
        <w:ind w:firstLine="480"/>
        <w:rPr>
          <w:color w:val="000000" w:themeColor="text1"/>
          <w:highlight w:val="none"/>
          <w14:textFill>
            <w14:solidFill>
              <w14:schemeClr w14:val="tx1"/>
            </w14:solidFill>
          </w14:textFill>
        </w:rPr>
      </w:pPr>
      <w:bookmarkStart w:id="82" w:name="_Toc44492415"/>
      <w:bookmarkStart w:id="83" w:name="_Toc17478"/>
      <w:bookmarkStart w:id="84" w:name="_Toc25034"/>
      <w:r>
        <w:rPr>
          <w:rFonts w:hint="eastAsia"/>
          <w:color w:val="000000" w:themeColor="text1"/>
          <w:highlight w:val="none"/>
          <w14:textFill>
            <w14:solidFill>
              <w14:schemeClr w14:val="tx1"/>
            </w14:solidFill>
          </w14:textFill>
        </w:rPr>
        <w:t>1.8.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严禁贿赂</w:t>
      </w:r>
      <w:bookmarkEnd w:id="82"/>
      <w:bookmarkEnd w:id="83"/>
      <w:bookmarkEnd w:id="8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合同当事人双方不得以贿赂或变相贿赂的方式，谋取不当利益或损害对方权益。因贿赂造成对方损失的，行为人应赔偿损失，并承担相应的法律责任。</w:t>
      </w:r>
    </w:p>
    <w:p>
      <w:pPr>
        <w:pStyle w:val="77"/>
        <w:ind w:firstLine="480"/>
        <w:rPr>
          <w:color w:val="000000" w:themeColor="text1"/>
          <w:highlight w:val="none"/>
          <w14:textFill>
            <w14:solidFill>
              <w14:schemeClr w14:val="tx1"/>
            </w14:solidFill>
          </w14:textFill>
        </w:rPr>
      </w:pPr>
      <w:bookmarkStart w:id="85" w:name="_Toc16087"/>
      <w:bookmarkStart w:id="86" w:name="_Toc4474"/>
      <w:bookmarkStart w:id="87" w:name="_Toc44492416"/>
      <w:r>
        <w:rPr>
          <w:rFonts w:hint="eastAsia"/>
          <w:color w:val="000000" w:themeColor="text1"/>
          <w:highlight w:val="none"/>
          <w14:textFill>
            <w14:solidFill>
              <w14:schemeClr w14:val="tx1"/>
            </w14:solidFill>
          </w14:textFill>
        </w:rPr>
        <w:t>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文物和地下障碍物</w:t>
      </w:r>
      <w:bookmarkEnd w:id="85"/>
      <w:bookmarkEnd w:id="86"/>
      <w:bookmarkEnd w:id="8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施工中发现古墓、古建筑遗址等文物及化石或其他有考古、地质研究等价值的物品时，分包人应立即保护好现场并于4小时内以书面形式通知承包人、发包人及监理人，承包人、发包人及监理人应于收到书面通知后24小时内报告当地文物管理部门，合同当事人双方按文物管理部门的要求采取妥善保护措施。由此导致工期延误超过7天的，顺延延误的工期。如发现后隐瞒不报，致使文物遭受破坏，责任者依法承担相应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1.9.2.施工中发现影响施工的地下障碍物时，分包人应于8小时内以书面形式通知承包人及发包人，同时提出处置方案，承包人及发包人收到处置方案后24小时内予以认可或提出修正方案。承包人顺延延误的工期。所发现的地下障碍物有归属单位时，由发包人报请有关部门协同处置。</w:t>
      </w:r>
    </w:p>
    <w:p>
      <w:pPr>
        <w:pStyle w:val="77"/>
        <w:ind w:firstLine="480"/>
        <w:rPr>
          <w:color w:val="000000" w:themeColor="text1"/>
          <w:highlight w:val="none"/>
          <w14:textFill>
            <w14:solidFill>
              <w14:schemeClr w14:val="tx1"/>
            </w14:solidFill>
          </w14:textFill>
        </w:rPr>
      </w:pPr>
      <w:bookmarkStart w:id="88" w:name="_Toc21868"/>
      <w:bookmarkStart w:id="89" w:name="_Toc15474"/>
      <w:bookmarkStart w:id="90" w:name="_Toc44492417"/>
      <w:r>
        <w:rPr>
          <w:rFonts w:hint="eastAsia"/>
          <w:color w:val="000000" w:themeColor="text1"/>
          <w:highlight w:val="none"/>
          <w14:textFill>
            <w14:solidFill>
              <w14:schemeClr w14:val="tx1"/>
            </w14:solidFill>
          </w14:textFill>
        </w:rPr>
        <w:t>1.10.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专利技术及特殊工艺</w:t>
      </w:r>
      <w:bookmarkEnd w:id="88"/>
      <w:bookmarkEnd w:id="89"/>
      <w:bookmarkEnd w:id="9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1.10.1.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分包人提出使用专利技术或特殊工艺，应取得承包人及发包人认可，分包人负责办理申报手续并承担有关费用。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1.10.2.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保证为本工程项目所提交的全部设计文件或产品、设备等未侵犯第三方的知识产权。若分包人所提供的设计文件或产品、设备等涉嫌侵犯第三方知识产权或其他权利的，分包人必须自费负责妥善解决，使承包人及发包人免遭任何损失，免于承担任何责任；若承包人及发包人被牵连诉讼或仲裁，法院或仲裁机构裁判发包人败诉，或任何调解、和解协议规定承包人或发包人需要向第三方支付赔偿或费用及/或承担其他法律责任的，应由分包人全额赔偿及/或承担其他法律责任；分包人须在法院或仲裁机构生效法律文书或该等协议书指定的支付期限到期前，按该等文件指定的款项先行赔付给承包人或发包人。</w:t>
      </w:r>
    </w:p>
    <w:p>
      <w:pPr>
        <w:pStyle w:val="77"/>
        <w:ind w:firstLine="480"/>
        <w:rPr>
          <w:color w:val="000000" w:themeColor="text1"/>
          <w:highlight w:val="none"/>
          <w14:textFill>
            <w14:solidFill>
              <w14:schemeClr w14:val="tx1"/>
            </w14:solidFill>
          </w14:textFill>
        </w:rPr>
      </w:pPr>
      <w:bookmarkStart w:id="91" w:name="_Toc5448"/>
      <w:bookmarkStart w:id="92" w:name="_Toc6747"/>
      <w:bookmarkStart w:id="93" w:name="_Toc44492418"/>
      <w:r>
        <w:rPr>
          <w:rFonts w:hint="eastAsia"/>
          <w:color w:val="000000" w:themeColor="text1"/>
          <w:highlight w:val="none"/>
          <w14:textFill>
            <w14:solidFill>
              <w14:schemeClr w14:val="tx1"/>
            </w14:solidFill>
          </w14:textFill>
        </w:rPr>
        <w:t>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图纸和文件的保密</w:t>
      </w:r>
      <w:bookmarkEnd w:id="91"/>
      <w:bookmarkEnd w:id="92"/>
      <w:bookmarkEnd w:id="9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用于本合同的图纸和文件，未经发包人及承包人同意，分包人不得为合同以外的目的泄露给他人或公开发表与引用。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分包人提供的文件，未经分包人同意，发包人、监理人及承包人不得为合同以外的目的泄露给他人或公开发表与引用。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分包人应履行保密义务，未经发包人同意，不得翻印、外传所有有关工程的资料包括文件、图纸、样板等，不得将本工程图纸及发包人或承包人提供的样板转给第三人。</w:t>
      </w:r>
    </w:p>
    <w:p>
      <w:pPr>
        <w:pStyle w:val="73"/>
        <w:rPr>
          <w:color w:val="000000" w:themeColor="text1"/>
          <w:highlight w:val="none"/>
          <w14:textFill>
            <w14:solidFill>
              <w14:schemeClr w14:val="tx1"/>
            </w14:solidFill>
          </w14:textFill>
        </w:rPr>
      </w:pPr>
      <w:bookmarkStart w:id="94" w:name="_Toc9731"/>
      <w:bookmarkStart w:id="95" w:name="_Toc44492419"/>
      <w:bookmarkStart w:id="96" w:name="_Toc47512232"/>
      <w:bookmarkStart w:id="97" w:name="_Toc407355995"/>
      <w:bookmarkStart w:id="98" w:name="_Toc7917"/>
      <w:bookmarkStart w:id="99" w:name="_Toc44227983"/>
      <w:bookmarkStart w:id="100" w:name="_Toc91082294"/>
      <w:r>
        <w:rPr>
          <w:rFonts w:hint="eastAsia"/>
          <w:color w:val="000000" w:themeColor="text1"/>
          <w:highlight w:val="none"/>
          <w14:textFill>
            <w14:solidFill>
              <w14:schemeClr w14:val="tx1"/>
            </w14:solidFill>
          </w14:textFill>
        </w:rPr>
        <w:t>2.</w:t>
      </w:r>
      <w:bookmarkEnd w:id="94"/>
      <w:bookmarkEnd w:id="95"/>
      <w:bookmarkEnd w:id="96"/>
      <w:bookmarkEnd w:id="97"/>
      <w:bookmarkEnd w:id="98"/>
      <w:bookmarkEnd w:id="99"/>
      <w:r>
        <w:rPr>
          <w:rFonts w:hint="eastAsia"/>
          <w:color w:val="000000" w:themeColor="text1"/>
          <w:highlight w:val="none"/>
          <w14:textFill>
            <w14:solidFill>
              <w14:schemeClr w14:val="tx1"/>
            </w14:solidFill>
          </w14:textFill>
        </w:rPr>
        <w:t>承包人</w:t>
      </w:r>
      <w:bookmarkEnd w:id="100"/>
    </w:p>
    <w:p>
      <w:pPr>
        <w:pStyle w:val="77"/>
        <w:ind w:firstLine="480"/>
        <w:rPr>
          <w:color w:val="000000" w:themeColor="text1"/>
          <w:highlight w:val="none"/>
          <w14:textFill>
            <w14:solidFill>
              <w14:schemeClr w14:val="tx1"/>
            </w14:solidFill>
          </w14:textFill>
        </w:rPr>
      </w:pPr>
      <w:bookmarkStart w:id="101" w:name="_Toc12683"/>
      <w:bookmarkStart w:id="102" w:name="_Toc17930"/>
      <w:bookmarkStart w:id="103" w:name="_Toc44492420"/>
      <w:r>
        <w:rPr>
          <w:rFonts w:hint="eastAsia"/>
          <w:color w:val="000000" w:themeColor="text1"/>
          <w:highlight w:val="none"/>
          <w14:textFill>
            <w14:solidFill>
              <w14:schemeClr w14:val="tx1"/>
            </w14:solidFill>
          </w14:textFill>
        </w:rPr>
        <w:t>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承包人代表</w:t>
      </w:r>
      <w:bookmarkEnd w:id="101"/>
      <w:bookmarkEnd w:id="102"/>
      <w:bookmarkEnd w:id="10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承包人应任命承包人代表负责处理施工现场与发包人有关的具体事宜。承包人代表在承包人授权的权限内的行为由承包人承担法律责任。承包人代表姓名、职务在专用条款内写明。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承包人代表的权限为：负责工程建设的内外部关系协调，对工程建设进行监督管理。承包人赋予的其他权限在专用条款中写明。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本合同内容的任何修订、增加或减少项目、款项的支付、设计变更与工程签证等，需要另外获得承包人的授权，并加盖承包人公章方可生效。在任何情形下，承包人代表都没有修改本合同的权利。分包人确知，承包人代表签署的可能修改合同条款的任何文件均无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如更换承包人代表，承包人应以书面形式通知分包人，后任继续行使合同文件约定的前任的职权，履行前任的义务。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承包人代表可委派代表行使合同约定给自己的职权，并可在必要时撤回，委派和撤回均应以书面形式通知分包人。</w:t>
      </w:r>
    </w:p>
    <w:p>
      <w:pPr>
        <w:pStyle w:val="77"/>
        <w:ind w:firstLine="480"/>
        <w:rPr>
          <w:color w:val="000000" w:themeColor="text1"/>
          <w:highlight w:val="none"/>
          <w14:textFill>
            <w14:solidFill>
              <w14:schemeClr w14:val="tx1"/>
            </w14:solidFill>
          </w14:textFill>
        </w:rPr>
      </w:pPr>
      <w:bookmarkStart w:id="104" w:name="_Toc26489"/>
      <w:bookmarkStart w:id="105" w:name="_Toc44492421"/>
      <w:bookmarkStart w:id="106" w:name="_Toc25962"/>
      <w:r>
        <w:rPr>
          <w:rFonts w:hint="eastAsia"/>
          <w:color w:val="000000" w:themeColor="text1"/>
          <w:highlight w:val="none"/>
          <w14:textFill>
            <w14:solidFill>
              <w14:schemeClr w14:val="tx1"/>
            </w14:solidFill>
          </w14:textFill>
        </w:rPr>
        <w:t>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承包人一般权利义务</w:t>
      </w:r>
      <w:bookmarkEnd w:id="104"/>
      <w:bookmarkEnd w:id="105"/>
      <w:bookmarkEnd w:id="10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为保证进度、质量、绿色施工安全防护措施、销售配合等，承包人有权对所有相关事项发出指令进行变更或调整，包括但不限于：对设计图纸进行变更、调整工程量、调整施工进度、顺序和工艺、施工现场布置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如分包人不按合同要求或发包人指令进行施工，承包人有权要求分包人暂停施工，待整改完毕后报承包人、发包人和监理验收通过后方可复工，由此造成的工期延误及经济损失由分包人负责。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承包人有权直接随时向分包人发出任何为达到施工、竣工或保修目的的图纸或指令，分包人应遵照执行并受其约束。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承包人完成以下工作：</w:t>
      </w:r>
    </w:p>
    <w:p>
      <w:pPr>
        <w:adjustRightInd w:val="0"/>
        <w:snapToGrid w:val="0"/>
        <w:spacing w:line="360" w:lineRule="auto"/>
        <w:ind w:firstLine="426"/>
        <w:jc w:val="left"/>
        <w:outlineLvl w:val="3"/>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在分包人应先行充分审图的前提下，发包人组织承包人、分包人和设计人进行图纸会审及设计交底。设计交底后，分包人应当继续审查相关图纸中可能存在的不符合法律规定、适用标准、施工规范的任何错误、冲突，并在专用条款约定的时间内以书面方式报承包人、发包人及监理人。</w:t>
      </w:r>
    </w:p>
    <w:p>
      <w:pPr>
        <w:adjustRightInd w:val="0"/>
        <w:snapToGrid w:val="0"/>
        <w:spacing w:line="360" w:lineRule="auto"/>
        <w:ind w:firstLine="426"/>
        <w:jc w:val="left"/>
        <w:outlineLvl w:val="3"/>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2）及时支付合同款项。</w:t>
      </w:r>
    </w:p>
    <w:p>
      <w:pPr>
        <w:adjustRightInd w:val="0"/>
        <w:snapToGrid w:val="0"/>
        <w:spacing w:line="360" w:lineRule="auto"/>
        <w:ind w:firstLine="426"/>
        <w:jc w:val="left"/>
        <w:outlineLvl w:val="3"/>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3）其他由发包人完成的工作在专用条款中约定。</w:t>
      </w:r>
    </w:p>
    <w:p>
      <w:pPr>
        <w:pStyle w:val="52"/>
        <w:ind w:firstLine="420"/>
        <w:rPr>
          <w:snapToGrid w:val="0"/>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施工所需水、电、电讯线路说明：</w:t>
      </w:r>
    </w:p>
    <w:p>
      <w:pPr>
        <w:pStyle w:val="5"/>
        <w:keepNext w:val="0"/>
        <w:keepLines w:val="0"/>
        <w:numPr>
          <w:ilvl w:val="0"/>
          <w:numId w:val="2"/>
        </w:numPr>
        <w:adjustRightInd w:val="0"/>
        <w:snapToGrid w:val="0"/>
        <w:spacing w:before="0" w:after="0" w:line="360" w:lineRule="auto"/>
        <w:ind w:left="0" w:firstLine="420" w:firstLineChars="200"/>
        <w:jc w:val="left"/>
        <w:rPr>
          <w:rFonts w:ascii="Times New Roman" w:hAnsi="Times New Roman" w:eastAsia="仿宋_GB2312"/>
          <w:b w:val="0"/>
          <w:bCs w:val="0"/>
          <w:color w:val="000000" w:themeColor="text1"/>
          <w:kern w:val="0"/>
          <w:sz w:val="21"/>
          <w:szCs w:val="32"/>
          <w:highlight w:val="none"/>
          <w14:textFill>
            <w14:solidFill>
              <w14:schemeClr w14:val="tx1"/>
            </w14:solidFill>
          </w14:textFill>
        </w:rPr>
      </w:pPr>
      <w:r>
        <w:rPr>
          <w:rFonts w:hint="eastAsia" w:ascii="Times New Roman" w:hAnsi="Times New Roman" w:eastAsia="仿宋_GB2312"/>
          <w:b w:val="0"/>
          <w:bCs w:val="0"/>
          <w:color w:val="000000" w:themeColor="text1"/>
          <w:kern w:val="0"/>
          <w:sz w:val="21"/>
          <w:szCs w:val="32"/>
          <w:highlight w:val="none"/>
          <w14:textFill>
            <w14:solidFill>
              <w14:schemeClr w14:val="tx1"/>
            </w14:solidFill>
          </w14:textFill>
        </w:rPr>
        <w:t>施工所需水、电按专用条款中相关要求提供。</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 通讯线路由分包人自行解决。</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承包人委托分包人办理的具体工作内容及费用由合同当事人双方在专用条款内进行约定。</w:t>
      </w:r>
    </w:p>
    <w:p>
      <w:pPr>
        <w:pStyle w:val="73"/>
        <w:rPr>
          <w:color w:val="000000" w:themeColor="text1"/>
          <w:highlight w:val="none"/>
          <w14:textFill>
            <w14:solidFill>
              <w14:schemeClr w14:val="tx1"/>
            </w14:solidFill>
          </w14:textFill>
        </w:rPr>
      </w:pPr>
      <w:bookmarkStart w:id="107" w:name="_Toc91082295"/>
      <w:bookmarkStart w:id="108" w:name="_Toc47512233"/>
      <w:bookmarkStart w:id="109" w:name="_Toc44227984"/>
      <w:bookmarkStart w:id="110" w:name="_Toc44492422"/>
      <w:bookmarkStart w:id="111" w:name="_Toc28563"/>
      <w:bookmarkStart w:id="112" w:name="_Toc407355996"/>
      <w:bookmarkStart w:id="113" w:name="_Toc18190"/>
      <w:r>
        <w:rPr>
          <w:rFonts w:hint="eastAsia"/>
          <w:color w:val="000000" w:themeColor="text1"/>
          <w:highlight w:val="none"/>
          <w14:textFill>
            <w14:solidFill>
              <w14:schemeClr w14:val="tx1"/>
            </w14:solidFill>
          </w14:textFill>
        </w:rPr>
        <w:t>3.监理人及造价咨询人</w:t>
      </w:r>
      <w:bookmarkEnd w:id="107"/>
      <w:bookmarkEnd w:id="108"/>
      <w:bookmarkEnd w:id="109"/>
      <w:bookmarkEnd w:id="110"/>
      <w:bookmarkEnd w:id="111"/>
      <w:bookmarkEnd w:id="112"/>
      <w:bookmarkEnd w:id="113"/>
    </w:p>
    <w:p>
      <w:pPr>
        <w:pStyle w:val="77"/>
        <w:ind w:firstLine="480"/>
        <w:rPr>
          <w:color w:val="000000" w:themeColor="text1"/>
          <w:highlight w:val="none"/>
          <w14:textFill>
            <w14:solidFill>
              <w14:schemeClr w14:val="tx1"/>
            </w14:solidFill>
          </w14:textFill>
        </w:rPr>
      </w:pPr>
      <w:bookmarkStart w:id="114" w:name="_Toc44492423"/>
      <w:bookmarkStart w:id="115" w:name="_Toc17253"/>
      <w:bookmarkStart w:id="116" w:name="_Toc25831"/>
      <w:r>
        <w:rPr>
          <w:rFonts w:hint="eastAsia"/>
          <w:color w:val="000000" w:themeColor="text1"/>
          <w:highlight w:val="none"/>
          <w14:textFill>
            <w14:solidFill>
              <w14:schemeClr w14:val="tx1"/>
            </w14:solidFill>
          </w14:textFill>
        </w:rPr>
        <w:t>3.1.</w:t>
      </w:r>
      <w:r>
        <w:rPr>
          <w:rFonts w:hint="eastAsia"/>
          <w:color w:val="000000" w:themeColor="text1"/>
          <w:highlight w:val="none"/>
          <w14:textFill>
            <w14:solidFill>
              <w14:schemeClr w14:val="tx1"/>
            </w14:solidFill>
          </w14:textFill>
        </w:rPr>
        <w:tab/>
      </w:r>
      <w:bookmarkEnd w:id="114"/>
      <w:bookmarkEnd w:id="115"/>
      <w:bookmarkEnd w:id="116"/>
      <w:r>
        <w:rPr>
          <w:rFonts w:hint="eastAsia"/>
          <w:color w:val="000000" w:themeColor="text1"/>
          <w:highlight w:val="none"/>
          <w14:textFill>
            <w14:solidFill>
              <w14:schemeClr w14:val="tx1"/>
            </w14:solidFill>
          </w14:textFill>
        </w:rPr>
        <w:t>监理人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发包人应在实施监理前将委托的监理人名称、监理内容及监理权限以书面形式通知分包人。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总监理工程师姓名、职务在专用条款内写明。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监理人按发包人与监理人签署的监理委托合同的约定行使职权。</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在任何情况下，监理人都无权修改本合同。监理人发出的通知、指示、同意、批准、证书、决定等，只要与本工程的暂定合同总价增减、工程变更、工程量增减、工程款数额、计量、计价、改变技术标准、改变施工方案、工期、改变工期、工程停工复工、索赔、处理事故、建筑使用功能、分包的范围与内容、分包人和供应商的选择、分包人主要管理人员的更换或撤回、工程验收以及其他可能影响发包人利益的事项有关，均须经过发包人的书面审核批准并加盖发包人公章，方可成为有约束力的文件，否则对发包人不具有约束力。监理人需要取得发包人批准才能行使的其他职权在专用条款里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本项目所有的监理人往来文件均需经总监理工程师或总监理工程师授权的代表签字、盖章后生效。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如需更换总监理工程师，发包人应以书面形式通知分包人，后任继续行使合同文件约定的前任的职权，履行前任的义务。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总监理工程师可按监理合同的约定委派代表行使合同约定给自己的职权，并可在必要时撤回，委派和撤回均应提前7天以书面形式通知分包人。</w:t>
      </w:r>
    </w:p>
    <w:p>
      <w:pPr>
        <w:pStyle w:val="77"/>
        <w:ind w:firstLine="480"/>
        <w:rPr>
          <w:color w:val="000000" w:themeColor="text1"/>
          <w:highlight w:val="none"/>
          <w14:textFill>
            <w14:solidFill>
              <w14:schemeClr w14:val="tx1"/>
            </w14:solidFill>
          </w14:textFill>
        </w:rPr>
      </w:pPr>
      <w:bookmarkStart w:id="117" w:name="_Toc24461"/>
      <w:bookmarkStart w:id="118" w:name="_Toc9075"/>
      <w:bookmarkStart w:id="119" w:name="_Toc44492424"/>
      <w:r>
        <w:rPr>
          <w:rFonts w:hint="eastAsia"/>
          <w:color w:val="000000" w:themeColor="text1"/>
          <w:highlight w:val="none"/>
          <w14:textFill>
            <w14:solidFill>
              <w14:schemeClr w14:val="tx1"/>
            </w14:solidFill>
          </w14:textFill>
        </w:rPr>
        <w:t>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监理人的指示</w:t>
      </w:r>
      <w:bookmarkEnd w:id="117"/>
      <w:bookmarkEnd w:id="118"/>
      <w:bookmarkEnd w:id="11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的指令以书面形式通过承包人交给分包人。确有必要时，监理人可发出口头指令，并在48小时内给予书面确认，承包人、分包人对指令应予执行。监理人不能及时给予书面确认的，承包人、分包人应于发出口头指令后7天内提出书面确认要求，分包人未提出要求的，责任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监理人指令的签字、加盖公章的范围要求详见《监理合同》。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认为监理人指令不合理的，应在收到指令后24小时内通过承包人向监理人提出修改指令的书面报告，监理人在收到承包人报告后24小时内做出修改指令或继续执行原指令的决定，并以书面形式通过承包人通知分包人。紧急情况下，分包人虽有异议，但监理人决定仍继续执行的指令，分包人应予执行，分包人拒不执行指令的，属于分包人违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监理人在履行和行使其职权时，其任何行为不免除分包人履行本合同约定的任何职责和义务。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3.2.5.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一般情况下，发包人和监理人的决定应是互补的和一致的；除非合同文件中另有约定，在发包人和监理人的决定出现矛盾或不一致时，发包人有最终决定权。</w:t>
      </w:r>
    </w:p>
    <w:p>
      <w:pPr>
        <w:pStyle w:val="77"/>
        <w:ind w:firstLine="480"/>
        <w:rPr>
          <w:color w:val="000000" w:themeColor="text1"/>
          <w:highlight w:val="none"/>
          <w14:textFill>
            <w14:solidFill>
              <w14:schemeClr w14:val="tx1"/>
            </w14:solidFill>
          </w14:textFill>
        </w:rPr>
      </w:pPr>
      <w:bookmarkStart w:id="120" w:name="_Toc15978"/>
      <w:bookmarkStart w:id="121" w:name="_Toc44492425"/>
      <w:bookmarkStart w:id="122" w:name="_Toc28732"/>
      <w:r>
        <w:rPr>
          <w:rFonts w:hint="eastAsia"/>
          <w:color w:val="000000" w:themeColor="text1"/>
          <w:highlight w:val="none"/>
          <w14:textFill>
            <w14:solidFill>
              <w14:schemeClr w14:val="tx1"/>
            </w14:solidFill>
          </w14:textFill>
        </w:rPr>
        <w:t>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造价咨询人</w:t>
      </w:r>
      <w:bookmarkEnd w:id="120"/>
      <w:bookmarkEnd w:id="121"/>
      <w:bookmarkEnd w:id="12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3.3.1.</w:t>
      </w:r>
      <w:r>
        <w:rPr>
          <w:rFonts w:hint="eastAsia"/>
          <w:color w:val="000000" w:themeColor="text1"/>
          <w:highlight w:val="none"/>
          <w14:textFill>
            <w14:solidFill>
              <w14:schemeClr w14:val="tx1"/>
            </w14:solidFill>
          </w14:textFill>
        </w:rPr>
        <w:tab/>
      </w:r>
      <w:r>
        <w:rPr>
          <w:color w:val="000000" w:themeColor="text1"/>
          <w:highlight w:val="none"/>
          <w14:textFill>
            <w14:solidFill>
              <w14:schemeClr w14:val="tx1"/>
            </w14:solidFill>
          </w14:textFill>
        </w:rPr>
        <w:t>发</w:t>
      </w:r>
      <w:r>
        <w:rPr>
          <w:rFonts w:hint="eastAsia"/>
          <w:color w:val="000000" w:themeColor="text1"/>
          <w:highlight w:val="none"/>
          <w14:textFill>
            <w14:solidFill>
              <w14:schemeClr w14:val="tx1"/>
            </w14:solidFill>
          </w14:textFill>
        </w:rPr>
        <w:t>包人有权将工程造价委托给造价咨询人管理。</w:t>
      </w:r>
      <w:r>
        <w:rPr>
          <w:color w:val="000000" w:themeColor="text1"/>
          <w:highlight w:val="none"/>
          <w14:textFill>
            <w14:solidFill>
              <w14:schemeClr w14:val="tx1"/>
            </w14:solidFill>
          </w14:textFill>
        </w:rPr>
        <w:t>发</w:t>
      </w:r>
      <w:r>
        <w:rPr>
          <w:rFonts w:hint="eastAsia"/>
          <w:color w:val="000000" w:themeColor="text1"/>
          <w:highlight w:val="none"/>
          <w14:textFill>
            <w14:solidFill>
              <w14:schemeClr w14:val="tx1"/>
            </w14:solidFill>
          </w14:textFill>
        </w:rPr>
        <w:t>包人委托造价咨询人的名称在专用条款中进行约定。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发包人委托造价咨询人的职权在专用条款里说明。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造价咨询人就造价确认、工程款结算等问题进行的沟通、协商、确认仅为协商过程性的行为。除非发包人法定代表人签字并加盖发包人公章，任何形式的文件以及任何人的行为都不能视为发包人对工程结算的认可。发包人有权委托第三方进行造价咨询及审核。</w:t>
      </w:r>
    </w:p>
    <w:p>
      <w:pPr>
        <w:pStyle w:val="73"/>
        <w:rPr>
          <w:color w:val="000000" w:themeColor="text1"/>
          <w:highlight w:val="none"/>
          <w14:textFill>
            <w14:solidFill>
              <w14:schemeClr w14:val="tx1"/>
            </w14:solidFill>
          </w14:textFill>
        </w:rPr>
      </w:pPr>
      <w:bookmarkStart w:id="123" w:name="_Toc44227985"/>
      <w:bookmarkStart w:id="124" w:name="_Toc4899"/>
      <w:bookmarkStart w:id="125" w:name="_Toc407355997"/>
      <w:bookmarkStart w:id="126" w:name="_Toc44492426"/>
      <w:bookmarkStart w:id="127" w:name="_Toc1200"/>
      <w:bookmarkStart w:id="128" w:name="_Toc47512234"/>
      <w:bookmarkStart w:id="129" w:name="_Toc91082296"/>
      <w:r>
        <w:rPr>
          <w:rFonts w:hint="eastAsia"/>
          <w:color w:val="000000" w:themeColor="text1"/>
          <w:highlight w:val="none"/>
          <w14:textFill>
            <w14:solidFill>
              <w14:schemeClr w14:val="tx1"/>
            </w14:solidFill>
          </w14:textFill>
        </w:rPr>
        <w:t>4.</w:t>
      </w:r>
      <w:bookmarkEnd w:id="123"/>
      <w:bookmarkEnd w:id="124"/>
      <w:bookmarkEnd w:id="125"/>
      <w:bookmarkEnd w:id="126"/>
      <w:bookmarkEnd w:id="127"/>
      <w:bookmarkEnd w:id="128"/>
      <w:r>
        <w:rPr>
          <w:rFonts w:hint="eastAsia"/>
          <w:color w:val="000000" w:themeColor="text1"/>
          <w:highlight w:val="none"/>
          <w14:textFill>
            <w14:solidFill>
              <w14:schemeClr w14:val="tx1"/>
            </w14:solidFill>
          </w14:textFill>
        </w:rPr>
        <w:t>分包人</w:t>
      </w:r>
      <w:bookmarkEnd w:id="129"/>
    </w:p>
    <w:p>
      <w:pPr>
        <w:pStyle w:val="77"/>
        <w:ind w:firstLine="480"/>
        <w:rPr>
          <w:color w:val="000000" w:themeColor="text1"/>
          <w:highlight w:val="none"/>
          <w14:textFill>
            <w14:solidFill>
              <w14:schemeClr w14:val="tx1"/>
            </w14:solidFill>
          </w14:textFill>
        </w:rPr>
      </w:pPr>
      <w:bookmarkStart w:id="130" w:name="_Toc44492427"/>
      <w:bookmarkStart w:id="131" w:name="_Toc26575"/>
      <w:bookmarkStart w:id="132" w:name="_Toc20990"/>
      <w:r>
        <w:rPr>
          <w:rFonts w:hint="eastAsia"/>
          <w:color w:val="000000" w:themeColor="text1"/>
          <w:highlight w:val="none"/>
          <w14:textFill>
            <w14:solidFill>
              <w14:schemeClr w14:val="tx1"/>
            </w14:solidFill>
          </w14:textFill>
        </w:rPr>
        <w:t>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分包人的一般义务</w:t>
      </w:r>
      <w:bookmarkEnd w:id="130"/>
      <w:bookmarkEnd w:id="131"/>
      <w:bookmarkEnd w:id="13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完成以下各项承包工作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实施、完成全部工程，并修补工程中的任何缺陷。除专用条款另有约定外，分包人应提供为完成合同工作所需的劳务、材料、施工设备、工程设备和其他物品，并按合同约定负责临时设施的设计、建造、运行、维护、管理和拆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根据发包人、承包人的委托，在其设计资质等级和业务允许的范围内，完成施工图设计或与工程配套的设计。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对施工作业和施工方法的完备性负责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分包人应按合同约定的工作内容和施工进度要求，编制施工组织设计和施工方案，并对所有施工作业和施工方法的完备性和安全可靠性负责。</w:t>
      </w:r>
    </w:p>
    <w:p>
      <w:pPr>
        <w:pStyle w:val="52"/>
        <w:ind w:firstLine="420"/>
        <w:rPr>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2）分包人负责办理各主管部门的相关报批报建验收手续，负责处理周边关系及相关政府部门关系，办理属于分包人承包范围内的有关证件。分包人负责办理施工临时占用道路手续并承担费用，发包人、承包人予以配合；使用临时路口、临时场地等保证金或押金由分包人负责缴纳，发包人、承包人配合提供有关资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保证工程施工和人员的安全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分包人应按本合同约定采取施工安全措施，确保本合同工程及其人员、材料、设备和设施的安全，防止因工程施工造成的人身伤害和财产损失。</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分包人应对所有工地作业和施工方法的适当性、可靠性及安全性负全责。在施工期间由于分包人原因而发生施工质量、安全事故，其责任及费用均由分包人负责并通过承包人报告发包人及有关部门。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负责施工场地及其周边环境与生态的保护工作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分包人应按照合同约定负责施工场地及其周边环境与生态的保护工作。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分包人应遵守政府有关主管部门对施工场地交通、施工噪音以及环境保护、环境卫生和安全生产等的管理规定，按规定办理有关手续，并以书面形式通过承包人通知发包人，发生的费用由分包人承担。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分包人应保证施工场地清洁符合环境卫生管理的有关要求，做到工完场清，即建筑垃圾须及时清运出场，否则承包人有权另行委托他人清理，发生的费用按在专用条款中约定处理。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避免施工对公众与他人的利益造成损害</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在进行合同约定的各项工作时，不得侵害发包人与他人使用公用道路、水源、市政管网等公共设施的权利，避免对邻近的公共设施产生干扰。分包人占用或使用他人的施工场地，影响他人作业或生活的，应承担相应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因实施本工程而应向第三方支付的扰民费、噪音费、夜间施工费等由分包人负责，已经包含在分包人的签约合同价格内。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为他人提供方便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分包人应按监理人的指示为他人在施工场地或附近实施与工程有关的其他各项工作提供可能的条件。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分包人有责任在工程隐蔽验收、中间验收、竣工验收、档案验收过程中通过承包人为发包人提供与政府相关部门的沟通与协调的服务，并通过承包人协助发包人办理相应手续。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分包人应负责处理好工地周边街道、社区、城管、治安、环保、安监等对本工程有管辖权的政府职能部门及机构的关系，以保证工程的顺利进行。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分包人必须按发包人或承包人要求的时间，将施工现场的临时设施及时拆除或清理，将施工人员（特别是施工班组人员）撤离施工现场，如分包人不能及时拆除或清理，发包人或现场监理人或承包人有权派人强行拆除并清理，造成的费用及责任均由分包人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工程的维护和照管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整体工程竣工验收合格前，分包人应负责照管和维护本合同工程，承担本合同工程交付前完工工程成品保护责任（具体约定见专用条款）。保护期间已完本合同工程发生损坏，分包人自费予以修复。</w:t>
      </w:r>
    </w:p>
    <w:p>
      <w:pPr>
        <w:pStyle w:val="52"/>
        <w:ind w:firstLine="420"/>
        <w:rPr>
          <w:rFonts w:ascii="宋体" w:hAnsi="宋体"/>
          <w:color w:val="000000" w:themeColor="text1"/>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4.1.8.分包人合规缴税和税费纠纷解决条款</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ascii="宋体" w:hAnsi="宋体"/>
          <w:color w:val="000000" w:themeColor="text1"/>
          <w:highlight w:val="none"/>
          <w14:textFill>
            <w14:solidFill>
              <w14:schemeClr w14:val="tx1"/>
            </w14:solidFill>
          </w14:textFill>
        </w:rPr>
        <w:t>）分包人须遵从相关政府部门、事业单位的法律、条例和通知</w:t>
      </w:r>
      <w:r>
        <w:rPr>
          <w:color w:val="000000" w:themeColor="text1"/>
          <w:highlight w:val="none"/>
          <w14:textFill>
            <w14:solidFill>
              <w14:schemeClr w14:val="tx1"/>
            </w14:solidFill>
          </w14:textFill>
        </w:rPr>
        <w:t>(</w:t>
      </w:r>
      <w:r>
        <w:rPr>
          <w:rFonts w:hint="eastAsia" w:ascii="宋体" w:hAnsi="宋体"/>
          <w:color w:val="000000" w:themeColor="text1"/>
          <w:highlight w:val="none"/>
          <w14:textFill>
            <w14:solidFill>
              <w14:schemeClr w14:val="tx1"/>
            </w14:solidFill>
          </w14:textFill>
        </w:rPr>
        <w:t>下称法定要求</w:t>
      </w:r>
      <w:r>
        <w:rPr>
          <w:color w:val="000000" w:themeColor="text1"/>
          <w:highlight w:val="none"/>
          <w14:textFill>
            <w14:solidFill>
              <w14:schemeClr w14:val="tx1"/>
            </w14:solidFill>
          </w14:textFill>
        </w:rPr>
        <w:t>)</w:t>
      </w:r>
      <w:r>
        <w:rPr>
          <w:rFonts w:hint="eastAsia" w:ascii="宋体" w:hAnsi="宋体"/>
          <w:color w:val="000000" w:themeColor="text1"/>
          <w:highlight w:val="none"/>
          <w14:textFill>
            <w14:solidFill>
              <w14:schemeClr w14:val="tx1"/>
            </w14:solidFill>
          </w14:textFill>
        </w:rPr>
        <w:t>，并呈交所需的通知及申请，及支付所须的费用和税项</w:t>
      </w:r>
      <w:r>
        <w:rPr>
          <w:color w:val="000000" w:themeColor="text1"/>
          <w:highlight w:val="none"/>
          <w14:textFill>
            <w14:solidFill>
              <w14:schemeClr w14:val="tx1"/>
            </w14:solidFill>
          </w14:textFill>
        </w:rPr>
        <w:t>(</w:t>
      </w:r>
      <w:r>
        <w:rPr>
          <w:rFonts w:hint="eastAsia" w:ascii="宋体" w:hAnsi="宋体"/>
          <w:color w:val="000000" w:themeColor="text1"/>
          <w:highlight w:val="none"/>
          <w14:textFill>
            <w14:solidFill>
              <w14:schemeClr w14:val="tx1"/>
            </w14:solidFill>
          </w14:textFill>
        </w:rPr>
        <w:t>下称法定费用</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w:t>
      </w:r>
    </w:p>
    <w:p>
      <w:pPr>
        <w:pStyle w:val="52"/>
        <w:ind w:firstLine="420"/>
        <w:rPr>
          <w:rFonts w:ascii="宋体" w:hAnsi="宋体"/>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ascii="宋体" w:hAnsi="宋体"/>
          <w:color w:val="000000" w:themeColor="text1"/>
          <w:highlight w:val="none"/>
          <w14:textFill>
            <w14:solidFill>
              <w14:schemeClr w14:val="tx1"/>
            </w14:solidFill>
          </w14:textFill>
        </w:rPr>
        <w:t>）若分包人未有缴交其应缴的法定费用，承包人可代缴该等法定费用，并从按本合同应付或将支付予分包人的款项中扣除；或以债项形式向分包人追讨；</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w:t>
      </w:r>
      <w:r>
        <w:rPr>
          <w:rFonts w:hint="eastAsia" w:ascii="宋体" w:hAnsi="宋体"/>
          <w:color w:val="000000" w:themeColor="text1"/>
          <w:highlight w:val="none"/>
          <w14:textFill>
            <w14:solidFill>
              <w14:schemeClr w14:val="tx1"/>
            </w14:solidFill>
          </w14:textFill>
        </w:rPr>
        <w:t>）分包人在收取工程款时，必须向承包人提供合法、有效及发包人按中国有关税务规定入账的发票。因分包人提供的发票不符合税务规定给承包人造成的损失，承包方应承担全部赔偿责任，赔偿包括但不限于：</w:t>
      </w:r>
      <w:r>
        <w:rPr>
          <w:color w:val="000000" w:themeColor="text1"/>
          <w:highlight w:val="none"/>
          <w14:textFill>
            <w14:solidFill>
              <w14:schemeClr w14:val="tx1"/>
            </w14:solidFill>
          </w14:textFill>
        </w:rPr>
        <w:t>A</w:t>
      </w:r>
      <w:r>
        <w:rPr>
          <w:rFonts w:hint="eastAsia" w:ascii="宋体" w:hAnsi="宋体"/>
          <w:color w:val="000000" w:themeColor="text1"/>
          <w:highlight w:val="none"/>
          <w14:textFill>
            <w14:solidFill>
              <w14:schemeClr w14:val="tx1"/>
            </w14:solidFill>
          </w14:textFill>
        </w:rPr>
        <w:t>承包人交纳的税款；</w:t>
      </w:r>
      <w:r>
        <w:rPr>
          <w:color w:val="000000" w:themeColor="text1"/>
          <w:highlight w:val="none"/>
          <w14:textFill>
            <w14:solidFill>
              <w14:schemeClr w14:val="tx1"/>
            </w14:solidFill>
          </w14:textFill>
        </w:rPr>
        <w:t>B</w:t>
      </w:r>
      <w:r>
        <w:rPr>
          <w:rFonts w:hint="eastAsia" w:ascii="宋体" w:hAnsi="宋体"/>
          <w:color w:val="000000" w:themeColor="text1"/>
          <w:highlight w:val="none"/>
          <w14:textFill>
            <w14:solidFill>
              <w14:schemeClr w14:val="tx1"/>
            </w14:solidFill>
          </w14:textFill>
        </w:rPr>
        <w:t>相关的滞纳金；</w:t>
      </w:r>
      <w:r>
        <w:rPr>
          <w:color w:val="000000" w:themeColor="text1"/>
          <w:highlight w:val="none"/>
          <w14:textFill>
            <w14:solidFill>
              <w14:schemeClr w14:val="tx1"/>
            </w14:solidFill>
          </w14:textFill>
        </w:rPr>
        <w:t>C</w:t>
      </w:r>
      <w:r>
        <w:rPr>
          <w:rFonts w:hint="eastAsia" w:ascii="宋体" w:hAnsi="宋体"/>
          <w:color w:val="000000" w:themeColor="text1"/>
          <w:highlight w:val="none"/>
          <w14:textFill>
            <w14:solidFill>
              <w14:schemeClr w14:val="tx1"/>
            </w14:solidFill>
          </w14:textFill>
        </w:rPr>
        <w:t>罚款。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分包人的其它义务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必须遵从承包人、监理人、发包人发出的指令，不得以指令所涉及的费用未确定为借口不执行或拖延执行。若分包人未有在合理时间之内执行已发出的指令，且在收到承包人催促执行的书面通知后7天之内仍未执行，则承包人或发包人有权聘请第三方执行该指示所要求的工作，由此产生的全部费用由分包人承担，承包人有权从本合同应付给分包人的款项中直接扣除。第三方完成的工作视为分包人完成工作，不减免分包人任何合同义务和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严格遵守国家、地方政府关于劳动合同、劳务用工的法律法规、女工、童工保护条例、职业健康与安全培训相关规定，及时足额支付员工薪酬和社保、劳务用工的劳务报酬。对承包人支付的工程款，分包人须优先用于支付所聘请员工薪酬和社保、劳务用工的劳务报酬。分包人有拖欠、克扣员工薪酬和社保、劳务用工的劳动劳务报酬行为的，承包人有权在分包人工程款中扣除相应款项，并直接支付给分包人所聘请员工、劳务用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于本合同约定分包人通过承包人提交给发包人审批、认可的事项，分包人均须预留给发包人充分合理的时间以便发包人正确的完成审批、认可。若因分包人迟交物料、样本、文件或工作并导致发包人没有充分合理的时间完成审批和认可，分包人需承担一切延误时间责任及经济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分包人应遵守承包人及发包人发布的工程管理相关制度，并积极配合发包人的供方评估，评估中发现的问题分包人应积极改进。</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由于分包人原因在施工</w:t>
      </w:r>
      <w:r>
        <w:rPr>
          <w:rFonts w:hint="eastAsia"/>
          <w:color w:val="000000" w:themeColor="text1"/>
          <w:highlight w:val="none"/>
          <w14:textFill>
            <w14:solidFill>
              <w14:schemeClr w14:val="tx1"/>
            </w14:solidFill>
          </w14:textFill>
        </w:rPr>
        <w:t>场地</w:t>
      </w:r>
      <w:r>
        <w:rPr>
          <w:color w:val="000000" w:themeColor="text1"/>
          <w:highlight w:val="none"/>
          <w14:textFill>
            <w14:solidFill>
              <w14:schemeClr w14:val="tx1"/>
            </w14:solidFill>
          </w14:textFill>
        </w:rPr>
        <w:t>内及其毗邻造成的第三方人身</w:t>
      </w:r>
      <w:r>
        <w:rPr>
          <w:rFonts w:hint="eastAsia"/>
          <w:color w:val="000000" w:themeColor="text1"/>
          <w:highlight w:val="none"/>
          <w14:textFill>
            <w14:solidFill>
              <w14:schemeClr w14:val="tx1"/>
            </w14:solidFill>
          </w14:textFill>
        </w:rPr>
        <w:t>伤亡</w:t>
      </w:r>
      <w:r>
        <w:rPr>
          <w:color w:val="000000" w:themeColor="text1"/>
          <w:highlight w:val="none"/>
          <w14:textFill>
            <w14:solidFill>
              <w14:schemeClr w14:val="tx1"/>
            </w14:solidFill>
          </w14:textFill>
        </w:rPr>
        <w:t>和财产损失，由分包人负责赔偿和处理。</w:t>
      </w:r>
    </w:p>
    <w:p>
      <w:pPr>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6）其它义务在专用条款中补充约定。</w:t>
      </w:r>
    </w:p>
    <w:p>
      <w:pPr>
        <w:pStyle w:val="77"/>
        <w:ind w:firstLine="480"/>
        <w:rPr>
          <w:color w:val="000000" w:themeColor="text1"/>
          <w:highlight w:val="none"/>
          <w14:textFill>
            <w14:solidFill>
              <w14:schemeClr w14:val="tx1"/>
            </w14:solidFill>
          </w14:textFill>
        </w:rPr>
      </w:pPr>
      <w:bookmarkStart w:id="133" w:name="_Toc44492428"/>
      <w:bookmarkStart w:id="134" w:name="_Toc28547"/>
      <w:bookmarkStart w:id="135" w:name="_Toc26162"/>
      <w:r>
        <w:rPr>
          <w:rFonts w:hint="eastAsia"/>
          <w:color w:val="000000" w:themeColor="text1"/>
          <w:highlight w:val="none"/>
          <w14:textFill>
            <w14:solidFill>
              <w14:schemeClr w14:val="tx1"/>
            </w14:solidFill>
          </w14:textFill>
        </w:rPr>
        <w:t>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履约担保</w:t>
      </w:r>
      <w:bookmarkEnd w:id="133"/>
      <w:bookmarkEnd w:id="134"/>
      <w:bookmarkEnd w:id="13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4.2.1分包人应向承包人提供履约保函，履约担保的格式见附件《履约保函》。分包人应按本合同所附履约保函格式，在合同签订后30天内向承包人提供不可撤销银行履约保函，其对承包人的保障不得低于合同所附履约保函格式的要求。履约保函的有效期从合同生效之日起至合同项下工程竣工验收合格、结算完成且工程交付发包人（以时间较晚者为准）后第30天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4.2.2分包人未严格按合同规定时间和格式提供履约保函的，经发包人书面确认，承包人可解除本合同。若承包人同意继续履行合同的，可以从应付给分包人的款项中扣除等额款项作为履约担保，直至分包人按合同规定格式提供履约担保至履约担保有效期结束时止。若分包人提供的履约保函有效期在4.2.1条款所要求的最长有效期前到期的，分包人应在其提供的履约保函到期前提前60天以上自动续期该履约保函，否则，经发包人书面同意，承包人有权在履约保函有效期届满前14天内提取该保函项下的全部担保金额或者从后续工程进度款及结算款中抵扣款项作为履约担保金额。</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4.2.3履约保函的担保额度按专用条款约定。</w:t>
      </w:r>
    </w:p>
    <w:p>
      <w:pPr>
        <w:pStyle w:val="77"/>
        <w:ind w:firstLine="480"/>
        <w:rPr>
          <w:color w:val="000000" w:themeColor="text1"/>
          <w:highlight w:val="none"/>
          <w14:textFill>
            <w14:solidFill>
              <w14:schemeClr w14:val="tx1"/>
            </w14:solidFill>
          </w14:textFill>
        </w:rPr>
      </w:pPr>
      <w:bookmarkStart w:id="136" w:name="_Toc22278"/>
      <w:bookmarkStart w:id="137" w:name="_Toc22100"/>
      <w:bookmarkStart w:id="138" w:name="_Toc44492429"/>
      <w:r>
        <w:rPr>
          <w:rFonts w:hint="eastAsia"/>
          <w:color w:val="000000" w:themeColor="text1"/>
          <w:highlight w:val="none"/>
          <w14:textFill>
            <w14:solidFill>
              <w14:schemeClr w14:val="tx1"/>
            </w14:solidFill>
          </w14:textFill>
        </w:rPr>
        <w:t>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再分包</w:t>
      </w:r>
      <w:bookmarkEnd w:id="136"/>
      <w:bookmarkEnd w:id="137"/>
      <w:bookmarkEnd w:id="13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本合同通用条款4.3.2的规定情况外，分包人不得将其承包的全部工程转包给第三人，不得将工程主体、关键性工作再分包给第三人,或将其承包的全部工程肢解后以分包的名义转包给第三人。分包人也不得将其承包的分包工程的全部或部分再分包给他人。如分包人出现本合同约定的违法分包情形或其他《建筑工程施工转包违法分包等违法行为认定查处管理办法（试行）》认定的违法分包情形的，经发包人书面同意，承包人有权单方解除合同，因此造成承包人损失的，由分包人负责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分包人经承包人同意可以将劳务作业再分包给具有相应劳务分包资质的劳务分包企业。分包人应对再分包的劳务作业的质量等相关事宜进行督促和检查，并承担相关连带责任。</w:t>
      </w:r>
    </w:p>
    <w:p>
      <w:pPr>
        <w:pStyle w:val="77"/>
        <w:ind w:firstLine="480"/>
        <w:rPr>
          <w:color w:val="000000" w:themeColor="text1"/>
          <w:highlight w:val="none"/>
          <w14:textFill>
            <w14:solidFill>
              <w14:schemeClr w14:val="tx1"/>
            </w14:solidFill>
          </w14:textFill>
        </w:rPr>
      </w:pPr>
      <w:bookmarkStart w:id="139" w:name="_Toc13492"/>
      <w:bookmarkStart w:id="140" w:name="_Toc44492430"/>
      <w:bookmarkStart w:id="141" w:name="_Toc23812"/>
      <w:r>
        <w:rPr>
          <w:rFonts w:hint="eastAsia"/>
          <w:color w:val="000000" w:themeColor="text1"/>
          <w:highlight w:val="none"/>
          <w14:textFill>
            <w14:solidFill>
              <w14:schemeClr w14:val="tx1"/>
            </w14:solidFill>
          </w14:textFill>
        </w:rPr>
        <w:t>4.4.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分包人项目经理</w:t>
      </w:r>
      <w:bookmarkEnd w:id="139"/>
      <w:bookmarkEnd w:id="140"/>
      <w:bookmarkEnd w:id="14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项目经理全权代表分包人对本工程的建设进行全面管理，行使合同约定的权利，履行合同约定的义务。项目经理的姓名、职务在专用条款内写明，项目经理必须常驻工地现场，其全部工作时间应用于本工程的管理，不得兼任其他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承包人及其授权代表给予项目经理的任何指示将视为有效地给予了分包人。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对分包人项目经理的管理要求在专用条款中说明。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分包人如需更换项目经理，应至少提前7天将备选项目经理资料通过承包人报发包人，征得承包人、发包人同意后方可更换项目经理。后任继续行使合同文件约定的前任的职权，履行前任的义务。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分包人为履行合同发出的一切函件均应盖有分包人授权的施工场地管理机构章，并由分包人项目经理或其授权代表签字。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项目经理可以授权其下属人员履行其全部或部分职责，但应提前7日以上将这些人员的姓名和授权范围书面通知承包人、发包人和监理人，并经承包人、发包人和监理人书面同意后方可授权。任何授权或授权的撤销，应在承包人、发包人收到项目经理签发的授权委托书或撤销授权的事先书面通知后生效。</w:t>
      </w:r>
    </w:p>
    <w:p>
      <w:pPr>
        <w:pStyle w:val="77"/>
        <w:ind w:firstLine="480"/>
        <w:rPr>
          <w:color w:val="000000" w:themeColor="text1"/>
          <w:highlight w:val="none"/>
          <w14:textFill>
            <w14:solidFill>
              <w14:schemeClr w14:val="tx1"/>
            </w14:solidFill>
          </w14:textFill>
        </w:rPr>
      </w:pPr>
      <w:bookmarkStart w:id="142" w:name="_Toc11336"/>
      <w:bookmarkStart w:id="143" w:name="_Toc11855"/>
      <w:bookmarkStart w:id="144" w:name="_Toc44492431"/>
      <w:r>
        <w:rPr>
          <w:rFonts w:hint="eastAsia"/>
          <w:color w:val="000000" w:themeColor="text1"/>
          <w:highlight w:val="none"/>
          <w14:textFill>
            <w14:solidFill>
              <w14:schemeClr w14:val="tx1"/>
            </w14:solidFill>
          </w14:textFill>
        </w:rPr>
        <w:t>4.5.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分包人人员的管理</w:t>
      </w:r>
      <w:bookmarkEnd w:id="142"/>
      <w:bookmarkEnd w:id="143"/>
      <w:bookmarkEnd w:id="14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接到开工通知后28天内，通过承包人向监理人提交分包人在施工场地的管理机构以及人员安排的报告，其内容应包括管理机构的设置、各主要岗位的技术和管理人员名单及其资格的安排状况。分包人应通过承包人向监理人提交施工场地人员变动情况的报告。发包人或承包人对于其组成人员有异议的，分包人应提供证据证明被质疑人员有能力完成其岗位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为完成合同约定的各项工作，分包人应向施工场地派遣或雇佣足够数量的下列人员：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具有相应资格的专业技工和合格的普工；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具有相应施工经验的技术人员；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具有相应岗位资格的各级管理人员。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分包人安排在施工场地的主要管理人员和技术骨干应相对稳定。分包人更换主要管理人员和技术骨干时，应取得承包人、监理人、发包人的同意。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特殊岗位的工作人员均应持有相应的资格证明，监理人有权随时检查。监理人认为有必要时，可进行现场考核。</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4.5.5.分包人应自行承担施工人员的劳动报酬、社会保险和福利待遇等，办理工伤保险。分包人不得拖欠劳动报酬，若因分包人拖欠工人劳动报酬引起的一切法律、经济责任由分包人自行承担，若由此造成工程停工、工期延误或承包人由此导致的发包人的处罚的，由分包人负责赔偿。</w:t>
      </w:r>
    </w:p>
    <w:p>
      <w:pPr>
        <w:pStyle w:val="77"/>
        <w:ind w:firstLine="480"/>
        <w:rPr>
          <w:color w:val="000000" w:themeColor="text1"/>
          <w:highlight w:val="none"/>
          <w14:textFill>
            <w14:solidFill>
              <w14:schemeClr w14:val="tx1"/>
            </w14:solidFill>
          </w14:textFill>
        </w:rPr>
      </w:pPr>
      <w:bookmarkStart w:id="145" w:name="_Toc6831"/>
      <w:bookmarkStart w:id="146" w:name="_Toc23482"/>
      <w:bookmarkStart w:id="147" w:name="_Toc44492432"/>
      <w:r>
        <w:rPr>
          <w:rFonts w:hint="eastAsia"/>
          <w:color w:val="000000" w:themeColor="text1"/>
          <w:highlight w:val="none"/>
          <w14:textFill>
            <w14:solidFill>
              <w14:schemeClr w14:val="tx1"/>
            </w14:solidFill>
          </w14:textFill>
        </w:rPr>
        <w:t>4.6.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撤换分包人项目经理和其他人员</w:t>
      </w:r>
      <w:bookmarkEnd w:id="145"/>
      <w:bookmarkEnd w:id="146"/>
      <w:bookmarkEnd w:id="14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承包人应对其项目经理和其他人员进行有效管理。发包人、监理人要求撤换不能胜任本职工作、行为不端或玩忽职守的分包人项目经理和其他人员的，承包人应要求分包人予以撤换。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具体约定见专用条款。</w:t>
      </w:r>
    </w:p>
    <w:p>
      <w:pPr>
        <w:pStyle w:val="77"/>
        <w:ind w:firstLine="480"/>
        <w:rPr>
          <w:color w:val="000000" w:themeColor="text1"/>
          <w:highlight w:val="none"/>
          <w14:textFill>
            <w14:solidFill>
              <w14:schemeClr w14:val="tx1"/>
            </w14:solidFill>
          </w14:textFill>
        </w:rPr>
      </w:pPr>
      <w:bookmarkStart w:id="148" w:name="_Toc15216"/>
      <w:bookmarkStart w:id="149" w:name="_Toc31508"/>
      <w:bookmarkStart w:id="150" w:name="_Toc44492433"/>
      <w:r>
        <w:rPr>
          <w:rFonts w:hint="eastAsia"/>
          <w:color w:val="000000" w:themeColor="text1"/>
          <w:highlight w:val="none"/>
          <w14:textFill>
            <w14:solidFill>
              <w14:schemeClr w14:val="tx1"/>
            </w14:solidFill>
          </w14:textFill>
        </w:rPr>
        <w:t>4.7.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保障分包人人员的合法权益</w:t>
      </w:r>
      <w:bookmarkEnd w:id="148"/>
      <w:bookmarkEnd w:id="149"/>
      <w:bookmarkEnd w:id="15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分包人应与其雇佣的人员签订劳动合同，并按时发放工资。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分包人应为其雇佣人员提供必要的食宿条件，以及符合环境保护和卫生要求的生活环境，在远离城镇的施工场地，还应配备必要的伤病防治和急救的医务人员与医疗设施。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国家有关劳动保护的规定，采取有效的防止粉尘、降低噪声、控制有害气体和保障高温、高寒、高空作业安全等劳动保护措施。其雇佣人员在施工中受到伤害的，分包人应立即采取有效措施进行抢救和治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w:t>
      </w:r>
      <w:r>
        <w:rPr>
          <w:color w:val="000000" w:themeColor="text1"/>
          <w:highlight w:val="none"/>
          <w14:textFill>
            <w14:solidFill>
              <w14:schemeClr w14:val="tx1"/>
            </w14:solidFill>
          </w14:textFill>
        </w:rPr>
        <w:t>有关法律</w:t>
      </w:r>
      <w:r>
        <w:rPr>
          <w:rFonts w:hint="eastAsia"/>
          <w:color w:val="000000" w:themeColor="text1"/>
          <w:highlight w:val="none"/>
          <w14:textFill>
            <w14:solidFill>
              <w14:schemeClr w14:val="tx1"/>
            </w14:solidFill>
          </w14:textFill>
        </w:rPr>
        <w:t>规定</w:t>
      </w:r>
      <w:r>
        <w:rPr>
          <w:color w:val="000000" w:themeColor="text1"/>
          <w:highlight w:val="none"/>
          <w14:textFill>
            <w14:solidFill>
              <w14:schemeClr w14:val="tx1"/>
            </w14:solidFill>
          </w14:textFill>
        </w:rPr>
        <w:t>和合同约定，为</w:t>
      </w:r>
      <w:r>
        <w:rPr>
          <w:rFonts w:hint="eastAsia"/>
          <w:color w:val="000000" w:themeColor="text1"/>
          <w:highlight w:val="none"/>
          <w14:textFill>
            <w14:solidFill>
              <w14:schemeClr w14:val="tx1"/>
            </w14:solidFill>
          </w14:textFill>
        </w:rPr>
        <w:t>其</w:t>
      </w:r>
      <w:r>
        <w:rPr>
          <w:color w:val="000000" w:themeColor="text1"/>
          <w:highlight w:val="none"/>
          <w14:textFill>
            <w14:solidFill>
              <w14:schemeClr w14:val="tx1"/>
            </w14:solidFill>
          </w14:textFill>
        </w:rPr>
        <w:t>雇佣人员办理保险。</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4.7.5.</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应</w:t>
      </w:r>
      <w:r>
        <w:rPr>
          <w:rFonts w:hint="eastAsia"/>
          <w:color w:val="000000" w:themeColor="text1"/>
          <w:highlight w:val="none"/>
          <w14:textFill>
            <w14:solidFill>
              <w14:schemeClr w14:val="tx1"/>
            </w14:solidFill>
          </w14:textFill>
        </w:rPr>
        <w:t>负责处理其雇佣人员因工伤亡事故的善后事宜，</w:t>
      </w:r>
      <w:r>
        <w:rPr>
          <w:color w:val="000000" w:themeColor="text1"/>
          <w:highlight w:val="none"/>
          <w14:textFill>
            <w14:solidFill>
              <w14:schemeClr w14:val="tx1"/>
            </w14:solidFill>
          </w14:textFill>
        </w:rPr>
        <w:t>保障发包人和本工程不因其遭受任何滋扰，保障发</w:t>
      </w:r>
      <w:r>
        <w:rPr>
          <w:rFonts w:hint="eastAsia"/>
          <w:color w:val="000000" w:themeColor="text1"/>
          <w:highlight w:val="none"/>
          <w14:textFill>
            <w14:solidFill>
              <w14:schemeClr w14:val="tx1"/>
            </w14:solidFill>
          </w14:textFill>
        </w:rPr>
        <w:t>包</w:t>
      </w:r>
      <w:r>
        <w:rPr>
          <w:color w:val="000000" w:themeColor="text1"/>
          <w:highlight w:val="none"/>
          <w14:textFill>
            <w14:solidFill>
              <w14:schemeClr w14:val="tx1"/>
            </w14:solidFill>
          </w14:textFill>
        </w:rPr>
        <w:t>人不发生任何费用、损失</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151" w:name="_Toc44492434"/>
      <w:bookmarkStart w:id="152" w:name="_Toc91"/>
      <w:bookmarkStart w:id="153" w:name="_Toc22152"/>
      <w:r>
        <w:rPr>
          <w:rFonts w:hint="eastAsia"/>
          <w:color w:val="000000" w:themeColor="text1"/>
          <w:highlight w:val="none"/>
          <w14:textFill>
            <w14:solidFill>
              <w14:schemeClr w14:val="tx1"/>
            </w14:solidFill>
          </w14:textFill>
        </w:rPr>
        <w:t>4.8.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工程价款应专款专用</w:t>
      </w:r>
      <w:bookmarkEnd w:id="151"/>
      <w:bookmarkEnd w:id="152"/>
      <w:bookmarkEnd w:id="15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4.8.1.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承包人按合同约定支付给分包人的各项价款应专用于合同工程。</w:t>
      </w:r>
    </w:p>
    <w:p>
      <w:pPr>
        <w:pStyle w:val="77"/>
        <w:ind w:firstLine="480"/>
        <w:rPr>
          <w:color w:val="000000" w:themeColor="text1"/>
          <w:highlight w:val="none"/>
          <w14:textFill>
            <w14:solidFill>
              <w14:schemeClr w14:val="tx1"/>
            </w14:solidFill>
          </w14:textFill>
        </w:rPr>
      </w:pPr>
      <w:bookmarkStart w:id="154" w:name="_Toc4079"/>
      <w:bookmarkStart w:id="155" w:name="_Toc44492435"/>
      <w:bookmarkStart w:id="156" w:name="_Toc29091"/>
      <w:r>
        <w:rPr>
          <w:rFonts w:hint="eastAsia"/>
          <w:color w:val="000000" w:themeColor="text1"/>
          <w:highlight w:val="none"/>
          <w14:textFill>
            <w14:solidFill>
              <w14:schemeClr w14:val="tx1"/>
            </w14:solidFill>
          </w14:textFill>
        </w:rPr>
        <w:t>4.9.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分包人现场查勘</w:t>
      </w:r>
      <w:bookmarkEnd w:id="154"/>
      <w:bookmarkEnd w:id="155"/>
      <w:bookmarkEnd w:id="156"/>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4.9.</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对施工场地和周围环境进行查勘，并收集有关地质、水文、气象条件、交通条件、风俗习惯以及其他为完成合同工作有关的当地资料。在全部合同工作中，应视为分包人已充分估计了应承担的责任和风险，对相关资料进行了认真细致和全面的查勘和检查，并且已经就任何可能存在的疑问向承包人或发包人或监理人获取了足够的澄清和解答，有关的风险均视为已包括在分包人的暂定合同总价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4.9.2. 承包人</w:t>
      </w:r>
      <w:r>
        <w:rPr>
          <w:color w:val="000000" w:themeColor="text1"/>
          <w:highlight w:val="none"/>
          <w14:textFill>
            <w14:solidFill>
              <w14:schemeClr w14:val="tx1"/>
            </w14:solidFill>
          </w14:textFill>
        </w:rPr>
        <w:t>人向分包人提供的其他资料在专用条款里写明。</w:t>
      </w:r>
    </w:p>
    <w:p>
      <w:pPr>
        <w:pStyle w:val="77"/>
        <w:ind w:firstLine="480"/>
        <w:rPr>
          <w:color w:val="000000" w:themeColor="text1"/>
          <w:highlight w:val="none"/>
          <w14:textFill>
            <w14:solidFill>
              <w14:schemeClr w14:val="tx1"/>
            </w14:solidFill>
          </w14:textFill>
        </w:rPr>
      </w:pPr>
      <w:bookmarkStart w:id="157" w:name="_Toc31588"/>
      <w:bookmarkStart w:id="158" w:name="_Toc22819"/>
      <w:bookmarkStart w:id="159" w:name="_Toc44492436"/>
      <w:r>
        <w:rPr>
          <w:rFonts w:hint="eastAsia"/>
          <w:color w:val="000000" w:themeColor="text1"/>
          <w:highlight w:val="none"/>
          <w14:textFill>
            <w14:solidFill>
              <w14:schemeClr w14:val="tx1"/>
            </w14:solidFill>
          </w14:textFill>
        </w:rPr>
        <w:t>4.10.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不利物质条件</w:t>
      </w:r>
      <w:bookmarkEnd w:id="157"/>
      <w:bookmarkEnd w:id="158"/>
      <w:bookmarkEnd w:id="15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4.10.1.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不利物质条件，除专用条款另有约定外，是指分包人在施工场地遇到的不可预见的自然物质条件、非自然的物质障碍和污染物，包括地下和水文条件，但不包括气候条件。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4.10.2.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分包人遇到不利物质条件时，应采取适应不利物质条件的合理措施继续施工，并及时通过承包人通知监理人。监理人应当及时发出指示，若指示构成变更的，按变更约定办理。</w:t>
      </w:r>
    </w:p>
    <w:p>
      <w:pPr>
        <w:pStyle w:val="73"/>
        <w:rPr>
          <w:color w:val="000000" w:themeColor="text1"/>
          <w:highlight w:val="none"/>
          <w14:textFill>
            <w14:solidFill>
              <w14:schemeClr w14:val="tx1"/>
            </w14:solidFill>
          </w14:textFill>
        </w:rPr>
      </w:pPr>
      <w:bookmarkStart w:id="160" w:name="_Toc47512235"/>
      <w:bookmarkStart w:id="161" w:name="_Toc16694"/>
      <w:bookmarkStart w:id="162" w:name="_Toc44492437"/>
      <w:bookmarkStart w:id="163" w:name="_Toc91082297"/>
      <w:bookmarkStart w:id="164" w:name="_Toc407355998"/>
      <w:bookmarkStart w:id="165" w:name="_Toc15947"/>
      <w:bookmarkStart w:id="166" w:name="_Toc44227986"/>
      <w:r>
        <w:rPr>
          <w:rFonts w:hint="eastAsia"/>
          <w:color w:val="000000" w:themeColor="text1"/>
          <w:highlight w:val="none"/>
          <w14:textFill>
            <w14:solidFill>
              <w14:schemeClr w14:val="tx1"/>
            </w14:solidFill>
          </w14:textFill>
        </w:rPr>
        <w:t>5.材料和工程设备</w:t>
      </w:r>
      <w:bookmarkEnd w:id="160"/>
      <w:bookmarkEnd w:id="161"/>
      <w:bookmarkEnd w:id="162"/>
      <w:bookmarkEnd w:id="163"/>
      <w:bookmarkEnd w:id="164"/>
      <w:bookmarkEnd w:id="165"/>
      <w:bookmarkEnd w:id="166"/>
    </w:p>
    <w:p>
      <w:pPr>
        <w:pStyle w:val="77"/>
        <w:ind w:firstLine="480"/>
        <w:rPr>
          <w:color w:val="000000" w:themeColor="text1"/>
          <w:highlight w:val="none"/>
          <w14:textFill>
            <w14:solidFill>
              <w14:schemeClr w14:val="tx1"/>
            </w14:solidFill>
          </w14:textFill>
        </w:rPr>
      </w:pPr>
      <w:bookmarkStart w:id="167" w:name="_Toc10651"/>
      <w:bookmarkStart w:id="168" w:name="_Toc44492438"/>
      <w:bookmarkStart w:id="169" w:name="_Toc4809"/>
      <w:r>
        <w:rPr>
          <w:rFonts w:hint="eastAsia"/>
          <w:color w:val="000000" w:themeColor="text1"/>
          <w:highlight w:val="none"/>
          <w14:textFill>
            <w14:solidFill>
              <w14:schemeClr w14:val="tx1"/>
            </w14:solidFill>
          </w14:textFill>
        </w:rPr>
        <w:t>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分包人提供的材料和工程设备</w:t>
      </w:r>
      <w:bookmarkEnd w:id="167"/>
      <w:bookmarkEnd w:id="168"/>
      <w:bookmarkEnd w:id="1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甲控乙供的材料和工程设备在专用条款中说明。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除专用条款另有约定外，分包人提供的材料和工程设备均由分包人负责采购、运输和保管。分包人应对其采购的材料和工程设备负责。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分包人提供的材料和工程设备必须符合合同文件的要求。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按专用条款中规定的时间通过承包人向监理人、发包人提交材料和工程设备的品牌、规格、价格、实验报告、产品合格证明、样品等资料，对材料和工程设备质量负责，经监理人、发包人认可后才能用于本工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样品</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在施工前，分包人应按照承包人、发包人和监理人的要求免费提供工程所需样品，</w:t>
      </w:r>
      <w:r>
        <w:rPr>
          <w:rFonts w:hint="eastAsia"/>
          <w:color w:val="000000" w:themeColor="text1"/>
          <w:highlight w:val="none"/>
          <w:shd w:val="clear" w:color="auto" w:fill="FFFF00"/>
          <w14:textFill>
            <w14:solidFill>
              <w14:schemeClr w14:val="tx1"/>
            </w14:solidFill>
          </w14:textFill>
        </w:rPr>
        <w:t>并由发包人和监理人确认后，封存于发包人或监理人场所，作为以后验收货物和（或）工程的标准</w:t>
      </w:r>
      <w:r>
        <w:rPr>
          <w:rFonts w:hint="eastAsia"/>
          <w:color w:val="000000" w:themeColor="text1"/>
          <w:highlight w:val="none"/>
          <w14:textFill>
            <w14:solidFill>
              <w14:schemeClr w14:val="tx1"/>
            </w14:solidFill>
          </w14:textFill>
        </w:rPr>
        <w:t>。发包人对任何样品的认可，并不会减轻或解除分包人按合同须履行的责任。若样品存在任何隐蔽瑕疵或任何缺陷，均不免除或减轻分包人在本合同项下的质量保证责任。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分包人需在材料和工程设备到场前24小时通知承包人、监理人、发包人进行验收清点。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分包人提供的材料和工程设备在使用前，应按承包人或监理人或发包人的要求进行检验或试验，不合格的不得使用，检验或试验费用由分包人承担。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工程按见证及监督取样送检的要求进行材料的检测，检测费用按专用条款的约定承担。在超出见证取样送检规定之外的情况下，若承包人或监理人或发包人对进场报验材料仍有异议，可按规定程序进行抽检，检验费用由分包人先行支付。若检验合格，检验费用由发包人承担；若检验不合格，检验费用由分包人承担，并由分包人承担由此给发包人造成的损失。</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采购和（或）使用不符合设计和合同要求的材料和工程设备时，应要求分包人负责修复、拆除或重新采购，并承担由此发生的费用，工期不予顺延。分包人不得将假冒伪劣材料设备用于本工程，否则按专用条款的约定进行承担相应的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发包人、监理人对材料和工程设备的检验认可并不免除以后因材料和工程设备缺陷引起工程质量缺陷时分包人应承担的责任。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材料和工程设备的供应厂商提供使用、安装指导或其他售后服务的，分包人必须在施工过程中接受指导和监督、接受售后服务以确保材料和工程设备获得供应厂家质量保证，否则发包人有权要求分包人全部重新更换、返工或核减工程价款，造成工期延迟的，分包人应当承担工期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分包人提供备品备件的要求在专用条款里说明。</w:t>
      </w:r>
    </w:p>
    <w:p>
      <w:pPr>
        <w:pStyle w:val="77"/>
        <w:ind w:firstLine="480"/>
        <w:rPr>
          <w:color w:val="000000" w:themeColor="text1"/>
          <w:highlight w:val="none"/>
          <w14:textFill>
            <w14:solidFill>
              <w14:schemeClr w14:val="tx1"/>
            </w14:solidFill>
          </w14:textFill>
        </w:rPr>
      </w:pPr>
      <w:bookmarkStart w:id="170" w:name="_Toc44492439"/>
      <w:bookmarkStart w:id="171" w:name="_Toc2958"/>
      <w:bookmarkStart w:id="172" w:name="_Toc17567"/>
      <w:r>
        <w:rPr>
          <w:rFonts w:hint="eastAsia"/>
          <w:color w:val="000000" w:themeColor="text1"/>
          <w:highlight w:val="none"/>
          <w14:textFill>
            <w14:solidFill>
              <w14:schemeClr w14:val="tx1"/>
            </w14:solidFill>
          </w14:textFill>
        </w:rPr>
        <w:t>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w:t>
      </w:r>
      <w:bookmarkEnd w:id="170"/>
      <w:bookmarkEnd w:id="171"/>
      <w:bookmarkEnd w:id="17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发包人提供的材料和工程设备，应在专用条款中约定。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5.2.2.</w:t>
      </w:r>
      <w:r>
        <w:rPr>
          <w:color w:val="000000" w:themeColor="text1"/>
          <w:highlight w:val="none"/>
          <w14:textFill>
            <w14:solidFill>
              <w14:schemeClr w14:val="tx1"/>
            </w14:solidFill>
          </w14:textFill>
        </w:rPr>
        <w:t xml:space="preserve"> </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应根据合同进度</w:t>
      </w:r>
      <w:r>
        <w:rPr>
          <w:rFonts w:hint="eastAsia"/>
          <w:color w:val="000000" w:themeColor="text1"/>
          <w:highlight w:val="none"/>
          <w14:textFill>
            <w14:solidFill>
              <w14:schemeClr w14:val="tx1"/>
            </w14:solidFill>
          </w14:textFill>
        </w:rPr>
        <w:t>计划</w:t>
      </w:r>
      <w:r>
        <w:rPr>
          <w:color w:val="000000" w:themeColor="text1"/>
          <w:highlight w:val="none"/>
          <w14:textFill>
            <w14:solidFill>
              <w14:schemeClr w14:val="tx1"/>
            </w14:solidFill>
          </w14:textFill>
        </w:rPr>
        <w:t>的安排，通过承包人向监理人报送要求发包人交货的日期计划。发</w:t>
      </w:r>
      <w:r>
        <w:rPr>
          <w:rFonts w:hint="eastAsia"/>
          <w:color w:val="000000" w:themeColor="text1"/>
          <w:highlight w:val="none"/>
          <w14:textFill>
            <w14:solidFill>
              <w14:schemeClr w14:val="tx1"/>
            </w14:solidFill>
          </w14:textFill>
        </w:rPr>
        <w:t>包</w:t>
      </w:r>
      <w:r>
        <w:rPr>
          <w:color w:val="000000" w:themeColor="text1"/>
          <w:highlight w:val="none"/>
          <w14:textFill>
            <w14:solidFill>
              <w14:schemeClr w14:val="tx1"/>
            </w14:solidFill>
          </w14:textFill>
        </w:rPr>
        <w:t>人应按照监理人与合同当事人</w:t>
      </w:r>
      <w:r>
        <w:rPr>
          <w:rFonts w:hint="eastAsia"/>
          <w:color w:val="000000" w:themeColor="text1"/>
          <w:highlight w:val="none"/>
          <w14:textFill>
            <w14:solidFill>
              <w14:schemeClr w14:val="tx1"/>
            </w14:solidFill>
          </w14:textFill>
        </w:rPr>
        <w:t>双</w:t>
      </w:r>
      <w:r>
        <w:rPr>
          <w:color w:val="000000" w:themeColor="text1"/>
          <w:highlight w:val="none"/>
          <w14:textFill>
            <w14:solidFill>
              <w14:schemeClr w14:val="tx1"/>
            </w14:solidFill>
          </w14:textFill>
        </w:rPr>
        <w:t>方商定的交货日期，通过承包人向分包人提交材料和工程设备。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分包人有义务在每项甲供材料和工程设备进场前 7 天通过承包人提醒发包人组织甲供材料和工程设备进场，材料和工程设备进场时,分包人应会同发包人、监理人共同进行验收,否则，由此产生的工期损失由分包人自行承担。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验收合格，由分包人填写《甲供材料设备验收入库单》并签字盖章。入库单一四式联，发包人两联，分包人、供方单位各执一联。甲供材料设备供应结束后由供方单位按《甲供材料设备验收入库单》 编制甲供材料设备汇总表，并经承包人及分包人签字并盖章。此汇总表及《甲供材料设备验收入库单》做为合同当事人双方结算的依据。如承包人及分包人无理由拒绝在甲供材料、设备供应单位编制的甲供材料设备汇总表上签字并盖章，发包人则以甲供材料、设备供应单位编制的甲供材料设备汇总表及《甲供材料设备验收入库单》作为合同当事人双方结算的依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收到供应单位供应的材料和工程设备24小时内开箱验收（如供货合同有约定验收时间的，以供货合同约定的验收时间为准），遇有破损或不合规格的，须即日通过承包人通知发包人安排替换。验收后的损坏、遗失由分包人负责。如分包人未及时到场清点并检验或试验，且已经超过供货合同约定的验收时间，视为分包人已经清点并检验或试验完毕，并认可货物数量、规格型号、外观质量等，分包人对其承担全部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完全知悉并认可：分包人在施工过程中不得以材料和工程设备存在质量瑕疵为由，而减免自身应承担的责任。另外约定，如果没有按照国家或地方相关规定履行进场后的检验检测而导致的质量问题，分包人担负全部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发包人提供的材料和工程设备验收后，由承包人及分包人负责接收、运输和保管,除专用条款另有约定外,所发生费用由分包人承担。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另有约定的在专用条款里写明。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要求向承包人、分包人提前交货的，承包人、分包人不得拒绝。分包人要求更改交货日期或地点的，应事先通过承包人报请监理人批准。由于分包人要求更改交货时间或地点所增加的费用和（或）工期延误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发包人提供的材料设备使用前，由承包人、分包人负责检验或试验，不合格的不得使用，检验或试验费用由分包人承担。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发包人提供的材料设备的结算方法在专用条款中说明。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5.2.</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发包人提供的材料和工程设备应送到工地地面层分包人指定地点，指定地点在专用条款中说明。</w:t>
      </w:r>
    </w:p>
    <w:p>
      <w:pPr>
        <w:pStyle w:val="77"/>
        <w:ind w:firstLine="480"/>
        <w:rPr>
          <w:color w:val="000000" w:themeColor="text1"/>
          <w:highlight w:val="none"/>
          <w14:textFill>
            <w14:solidFill>
              <w14:schemeClr w14:val="tx1"/>
            </w14:solidFill>
          </w14:textFill>
        </w:rPr>
      </w:pPr>
      <w:bookmarkStart w:id="173" w:name="_Toc12188"/>
      <w:bookmarkStart w:id="174" w:name="_Toc31298"/>
      <w:bookmarkStart w:id="175" w:name="_Toc44492440"/>
      <w:r>
        <w:rPr>
          <w:rFonts w:hint="eastAsia"/>
          <w:color w:val="000000" w:themeColor="text1"/>
          <w:highlight w:val="none"/>
          <w14:textFill>
            <w14:solidFill>
              <w14:schemeClr w14:val="tx1"/>
            </w14:solidFill>
          </w14:textFill>
        </w:rPr>
        <w:t>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材料和工程设备专用于合同工程</w:t>
      </w:r>
      <w:bookmarkEnd w:id="173"/>
      <w:bookmarkEnd w:id="174"/>
      <w:bookmarkEnd w:id="17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运入施工场地的材料、工程设备，包括备品备件、安装专用工器具与随机资料，必须专用于合同工程，未经承包人、监理人及发包人同意，分包人不得运出施工场地或挪作他用。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随同工程设备运入施工场地的备品备件、专用工器具与随机资料，应由分包人会同承包人、监理人按供货人的装箱单清点后共同封存，未经监理人同意不得启用。分包人因合同工作需要使用上述物品时，应向监理人提出申请。</w:t>
      </w:r>
    </w:p>
    <w:p>
      <w:pPr>
        <w:pStyle w:val="77"/>
        <w:ind w:firstLine="480"/>
        <w:rPr>
          <w:color w:val="000000" w:themeColor="text1"/>
          <w:highlight w:val="none"/>
          <w14:textFill>
            <w14:solidFill>
              <w14:schemeClr w14:val="tx1"/>
            </w14:solidFill>
          </w14:textFill>
        </w:rPr>
      </w:pPr>
      <w:bookmarkStart w:id="176" w:name="_Toc32429"/>
      <w:bookmarkStart w:id="177" w:name="_Toc44492441"/>
      <w:bookmarkStart w:id="178" w:name="_Toc475"/>
      <w:r>
        <w:rPr>
          <w:rFonts w:hint="eastAsia"/>
          <w:color w:val="000000" w:themeColor="text1"/>
          <w:highlight w:val="none"/>
          <w14:textFill>
            <w14:solidFill>
              <w14:schemeClr w14:val="tx1"/>
            </w14:solidFill>
          </w14:textFill>
        </w:rPr>
        <w:t>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禁止使用不合格的材料和工程设备</w:t>
      </w:r>
      <w:bookmarkEnd w:id="176"/>
      <w:bookmarkEnd w:id="177"/>
      <w:bookmarkEnd w:id="17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监理人有权拒绝分包人提供的不合格材料或工程设备，并通过承包人要求分包人立即进行更换。监理人应在更换后再次进行检查和检验，由此增加的费用和（或）工期延误由分包人承担。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如果任何检验表明被检验的材料、工程设备、工艺质量或工程不符合合同文件的约定，则发包人或监理人有权通过承包人指令分包人：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在指令规定的时间内将不符合合同文件约定的任何材料或工程设备运出现场；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用符合合同文件约定的材料或工程设备取代；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拆除不符合合同文件约定的任何工程，并进行重新施工。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分包人未能在指令规定的时间或者在指令中未规定时间的情况下未能在合理的时间内执行上述指令，则发包人或承包人有权委托他人执行该项指令，由此发生的费用以及给发包人或承包人造成的损失从分包工程款中予以扣除。</w:t>
      </w:r>
    </w:p>
    <w:p>
      <w:pPr>
        <w:pStyle w:val="77"/>
        <w:ind w:firstLine="480"/>
        <w:rPr>
          <w:color w:val="000000" w:themeColor="text1"/>
          <w:highlight w:val="none"/>
          <w14:textFill>
            <w14:solidFill>
              <w14:schemeClr w14:val="tx1"/>
            </w14:solidFill>
          </w14:textFill>
        </w:rPr>
      </w:pPr>
      <w:bookmarkStart w:id="179" w:name="_Toc26003"/>
      <w:bookmarkStart w:id="180" w:name="_Toc21351"/>
      <w:bookmarkStart w:id="181" w:name="_Toc44492442"/>
      <w:r>
        <w:rPr>
          <w:rFonts w:hint="eastAsia"/>
          <w:color w:val="000000" w:themeColor="text1"/>
          <w:highlight w:val="none"/>
          <w14:textFill>
            <w14:solidFill>
              <w14:schemeClr w14:val="tx1"/>
            </w14:solidFill>
          </w14:textFill>
        </w:rPr>
        <w:t>5.5.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进口材料和工程设备</w:t>
      </w:r>
      <w:bookmarkEnd w:id="179"/>
      <w:bookmarkEnd w:id="180"/>
      <w:bookmarkEnd w:id="18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分包人提供任何从国（境）外进口的材料和工程设备，此类材料和工程设备的价值以及与此类进口有关的任何关税（如有）、增值税、港口税费、运费、手续费、代理费、采保费及其他任何必要的费用已包含在分包人的暂定合同总价中，承包人无需另行支付；发包人及承包人有义务协助分包人办理相关手续，但不承担任何责任和费用。分包人应向承包人、发包人和监理人提供相关的产品原产地发出的质量合格证明资料、报关单及商检资料。</w:t>
      </w:r>
    </w:p>
    <w:p>
      <w:pPr>
        <w:pStyle w:val="73"/>
        <w:rPr>
          <w:color w:val="000000" w:themeColor="text1"/>
          <w:highlight w:val="none"/>
          <w14:textFill>
            <w14:solidFill>
              <w14:schemeClr w14:val="tx1"/>
            </w14:solidFill>
          </w14:textFill>
        </w:rPr>
      </w:pPr>
      <w:bookmarkStart w:id="182" w:name="_Toc16409"/>
      <w:bookmarkStart w:id="183" w:name="_Toc31056"/>
      <w:bookmarkStart w:id="184" w:name="_Toc407355999"/>
      <w:bookmarkStart w:id="185" w:name="_Toc44492443"/>
      <w:bookmarkStart w:id="186" w:name="_Toc44227987"/>
      <w:bookmarkStart w:id="187" w:name="_Toc47512236"/>
      <w:bookmarkStart w:id="188" w:name="_Toc91082298"/>
      <w:r>
        <w:rPr>
          <w:rFonts w:hint="eastAsia"/>
          <w:color w:val="000000" w:themeColor="text1"/>
          <w:highlight w:val="none"/>
          <w14:textFill>
            <w14:solidFill>
              <w14:schemeClr w14:val="tx1"/>
            </w14:solidFill>
          </w14:textFill>
        </w:rPr>
        <w:t>6.施工设备和临时设施</w:t>
      </w:r>
      <w:bookmarkEnd w:id="182"/>
      <w:bookmarkEnd w:id="183"/>
      <w:bookmarkEnd w:id="184"/>
      <w:bookmarkEnd w:id="185"/>
      <w:bookmarkEnd w:id="186"/>
      <w:bookmarkEnd w:id="187"/>
      <w:bookmarkEnd w:id="188"/>
    </w:p>
    <w:p>
      <w:pPr>
        <w:pStyle w:val="77"/>
        <w:ind w:firstLine="480"/>
        <w:rPr>
          <w:color w:val="000000" w:themeColor="text1"/>
          <w:highlight w:val="none"/>
          <w14:textFill>
            <w14:solidFill>
              <w14:schemeClr w14:val="tx1"/>
            </w14:solidFill>
          </w14:textFill>
        </w:rPr>
      </w:pPr>
      <w:bookmarkStart w:id="189" w:name="_Toc44492444"/>
      <w:bookmarkStart w:id="190" w:name="_Toc26481"/>
      <w:bookmarkStart w:id="191" w:name="_Toc11630"/>
      <w:r>
        <w:rPr>
          <w:rFonts w:hint="eastAsia"/>
          <w:color w:val="000000" w:themeColor="text1"/>
          <w:highlight w:val="none"/>
          <w14:textFill>
            <w14:solidFill>
              <w14:schemeClr w14:val="tx1"/>
            </w14:solidFill>
          </w14:textFill>
        </w:rPr>
        <w:t>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分包人提供的施工设备和临时设施</w:t>
      </w:r>
      <w:bookmarkEnd w:id="189"/>
      <w:bookmarkEnd w:id="190"/>
      <w:bookmarkEnd w:id="19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进度计划的要求，及时配置施工设备和修建临时设施。分包人应自行承担修建临时设施的费用。进入施工场地的分包人设备需经承包人、监理人核查后才能投入使用。分包人更换合同约定的分包人设备的，应通过承包人报监理人批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分包人提供的施工设备和临时设施的具体内容在专用条款中说明。</w:t>
      </w:r>
    </w:p>
    <w:p>
      <w:pPr>
        <w:pStyle w:val="77"/>
        <w:ind w:firstLine="480"/>
        <w:rPr>
          <w:color w:val="000000" w:themeColor="text1"/>
          <w:highlight w:val="none"/>
          <w14:textFill>
            <w14:solidFill>
              <w14:schemeClr w14:val="tx1"/>
            </w14:solidFill>
          </w14:textFill>
        </w:rPr>
      </w:pPr>
      <w:bookmarkStart w:id="192" w:name="_Toc2943"/>
      <w:bookmarkStart w:id="193" w:name="_Toc13516"/>
      <w:bookmarkStart w:id="194" w:name="_Toc44492445"/>
      <w:r>
        <w:rPr>
          <w:rFonts w:hint="eastAsia"/>
          <w:color w:val="000000" w:themeColor="text1"/>
          <w:highlight w:val="none"/>
          <w14:textFill>
            <w14:solidFill>
              <w14:schemeClr w14:val="tx1"/>
            </w14:solidFill>
          </w14:textFill>
        </w:rPr>
        <w:t>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承包人提供的施工设备和临时设施</w:t>
      </w:r>
      <w:bookmarkEnd w:id="192"/>
      <w:bookmarkEnd w:id="193"/>
      <w:bookmarkEnd w:id="19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承包人提供的施工设备或临时设施在专用条款中说明。</w:t>
      </w:r>
    </w:p>
    <w:p>
      <w:pPr>
        <w:pStyle w:val="77"/>
        <w:ind w:firstLine="480"/>
        <w:rPr>
          <w:color w:val="000000" w:themeColor="text1"/>
          <w:highlight w:val="none"/>
          <w14:textFill>
            <w14:solidFill>
              <w14:schemeClr w14:val="tx1"/>
            </w14:solidFill>
          </w14:textFill>
        </w:rPr>
      </w:pPr>
      <w:bookmarkStart w:id="195" w:name="_Toc8070"/>
      <w:bookmarkStart w:id="196" w:name="_Toc26816"/>
      <w:bookmarkStart w:id="197" w:name="_Toc44492446"/>
      <w:r>
        <w:rPr>
          <w:rFonts w:hint="eastAsia"/>
          <w:color w:val="000000" w:themeColor="text1"/>
          <w:highlight w:val="none"/>
          <w14:textFill>
            <w14:solidFill>
              <w14:schemeClr w14:val="tx1"/>
            </w14:solidFill>
          </w14:textFill>
        </w:rPr>
        <w:t>6.3.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要求分包人增加或更换施工设备</w:t>
      </w:r>
      <w:bookmarkEnd w:id="195"/>
      <w:bookmarkEnd w:id="196"/>
      <w:bookmarkEnd w:id="19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分包人使用的施工设备不能满足合同进度计划和（或）质量要求时，监理人有权通过承包人要求分包人增加或更换施工设备，分包人应及时增加或更换，由此增加的费用和（或）工期延误由分包人承担。</w:t>
      </w:r>
    </w:p>
    <w:p>
      <w:pPr>
        <w:pStyle w:val="77"/>
        <w:ind w:firstLine="480"/>
        <w:rPr>
          <w:color w:val="000000" w:themeColor="text1"/>
          <w:highlight w:val="none"/>
          <w14:textFill>
            <w14:solidFill>
              <w14:schemeClr w14:val="tx1"/>
            </w14:solidFill>
          </w14:textFill>
        </w:rPr>
      </w:pPr>
      <w:bookmarkStart w:id="198" w:name="_Toc30358"/>
      <w:bookmarkStart w:id="199" w:name="_Toc20526"/>
      <w:bookmarkStart w:id="200" w:name="_Toc44492447"/>
      <w:r>
        <w:rPr>
          <w:rFonts w:hint="eastAsia"/>
          <w:color w:val="000000" w:themeColor="text1"/>
          <w:highlight w:val="none"/>
          <w14:textFill>
            <w14:solidFill>
              <w14:schemeClr w14:val="tx1"/>
            </w14:solidFill>
          </w14:textFill>
        </w:rPr>
        <w:t>6.4.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施工设备和临时设施专用于合同工程</w:t>
      </w:r>
      <w:bookmarkEnd w:id="198"/>
      <w:bookmarkEnd w:id="199"/>
      <w:bookmarkEnd w:id="20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运入施工场地的所有施工设备以及在施工场地建设的临时设施应专用于合同工程。未经监理人同意，不得将上述施工设备和临时设施中的任何部分运出施工场地或挪作他用。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经监理人、承包人同意，分包人可根据合同进度计划撤走闲置的施工设备。</w:t>
      </w:r>
    </w:p>
    <w:p>
      <w:pPr>
        <w:pStyle w:val="73"/>
        <w:rPr>
          <w:color w:val="000000" w:themeColor="text1"/>
          <w:highlight w:val="none"/>
          <w14:textFill>
            <w14:solidFill>
              <w14:schemeClr w14:val="tx1"/>
            </w14:solidFill>
          </w14:textFill>
        </w:rPr>
      </w:pPr>
      <w:bookmarkStart w:id="201" w:name="_Toc44227988"/>
      <w:bookmarkStart w:id="202" w:name="_Toc44492448"/>
      <w:bookmarkStart w:id="203" w:name="_Toc28707"/>
      <w:bookmarkStart w:id="204" w:name="_Toc30840"/>
      <w:bookmarkStart w:id="205" w:name="_Toc91082299"/>
      <w:bookmarkStart w:id="206" w:name="_Toc47512237"/>
      <w:bookmarkStart w:id="207" w:name="_Toc407356000"/>
      <w:r>
        <w:rPr>
          <w:rFonts w:hint="eastAsia"/>
          <w:color w:val="000000" w:themeColor="text1"/>
          <w:highlight w:val="none"/>
          <w14:textFill>
            <w14:solidFill>
              <w14:schemeClr w14:val="tx1"/>
            </w14:solidFill>
          </w14:textFill>
        </w:rPr>
        <w:t>7.交通运输</w:t>
      </w:r>
      <w:bookmarkEnd w:id="201"/>
      <w:bookmarkEnd w:id="202"/>
      <w:bookmarkEnd w:id="203"/>
      <w:bookmarkEnd w:id="204"/>
      <w:bookmarkEnd w:id="205"/>
      <w:bookmarkEnd w:id="206"/>
      <w:bookmarkEnd w:id="207"/>
    </w:p>
    <w:p>
      <w:pPr>
        <w:pStyle w:val="77"/>
        <w:ind w:firstLine="480"/>
        <w:rPr>
          <w:color w:val="000000" w:themeColor="text1"/>
          <w:highlight w:val="none"/>
          <w14:textFill>
            <w14:solidFill>
              <w14:schemeClr w14:val="tx1"/>
            </w14:solidFill>
          </w14:textFill>
        </w:rPr>
      </w:pPr>
      <w:bookmarkStart w:id="208" w:name="_Toc44492449"/>
      <w:bookmarkStart w:id="209" w:name="_Toc29475"/>
      <w:bookmarkStart w:id="210" w:name="_Toc18245"/>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场外交通</w:t>
      </w:r>
      <w:bookmarkEnd w:id="208"/>
      <w:bookmarkEnd w:id="209"/>
      <w:bookmarkEnd w:id="21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负责确保所有现场周边毗邻的道路、步行道和现场出入口等的干净和整洁，同时保证它们及周边公共交通、公众生活不因分包人和其他受分包人控制和施工操作、材料装卸、车辆、材料、物品、设备和工人而带来任何妨碍；分包人须保证发包人、承包人免于与上述事件有关的任何索赔、诉讼、损害和损失。</w:t>
      </w:r>
    </w:p>
    <w:p>
      <w:pPr>
        <w:pStyle w:val="77"/>
        <w:ind w:firstLine="480"/>
        <w:rPr>
          <w:color w:val="000000" w:themeColor="text1"/>
          <w:highlight w:val="none"/>
          <w14:textFill>
            <w14:solidFill>
              <w14:schemeClr w14:val="tx1"/>
            </w14:solidFill>
          </w14:textFill>
        </w:rPr>
      </w:pPr>
      <w:bookmarkStart w:id="211" w:name="_Toc44492450"/>
      <w:bookmarkStart w:id="212" w:name="_Toc9320"/>
      <w:bookmarkStart w:id="213" w:name="_Toc4364"/>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道路和桥梁的损坏责任</w:t>
      </w:r>
      <w:bookmarkEnd w:id="211"/>
      <w:bookmarkEnd w:id="212"/>
      <w:bookmarkEnd w:id="21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因分包人运输造成施工场地内外公共道路和桥梁损坏的，由分包人承担修复损坏的全部费用和可能引起的赔偿。</w:t>
      </w:r>
    </w:p>
    <w:p>
      <w:pPr>
        <w:pStyle w:val="73"/>
        <w:rPr>
          <w:color w:val="000000" w:themeColor="text1"/>
          <w:highlight w:val="none"/>
          <w14:textFill>
            <w14:solidFill>
              <w14:schemeClr w14:val="tx1"/>
            </w14:solidFill>
          </w14:textFill>
        </w:rPr>
      </w:pPr>
      <w:bookmarkStart w:id="214" w:name="_Toc44492451"/>
      <w:bookmarkStart w:id="215" w:name="_Toc91082300"/>
      <w:bookmarkStart w:id="216" w:name="_Toc44227989"/>
      <w:bookmarkStart w:id="217" w:name="_Toc407356001"/>
      <w:bookmarkStart w:id="218" w:name="_Toc27752"/>
      <w:bookmarkStart w:id="219" w:name="_Toc29001"/>
      <w:bookmarkStart w:id="220" w:name="_Toc47512238"/>
      <w:r>
        <w:rPr>
          <w:rFonts w:hint="eastAsia"/>
          <w:color w:val="000000" w:themeColor="text1"/>
          <w:highlight w:val="none"/>
          <w14:textFill>
            <w14:solidFill>
              <w14:schemeClr w14:val="tx1"/>
            </w14:solidFill>
          </w14:textFill>
        </w:rPr>
        <w:t>8.测量放线</w:t>
      </w:r>
      <w:bookmarkEnd w:id="214"/>
      <w:bookmarkEnd w:id="215"/>
      <w:bookmarkEnd w:id="216"/>
      <w:bookmarkEnd w:id="217"/>
      <w:bookmarkEnd w:id="218"/>
      <w:bookmarkEnd w:id="219"/>
      <w:bookmarkEnd w:id="220"/>
    </w:p>
    <w:p>
      <w:pPr>
        <w:pStyle w:val="77"/>
        <w:ind w:firstLine="480"/>
        <w:rPr>
          <w:color w:val="000000" w:themeColor="text1"/>
          <w:highlight w:val="none"/>
          <w14:textFill>
            <w14:solidFill>
              <w14:schemeClr w14:val="tx1"/>
            </w14:solidFill>
          </w14:textFill>
        </w:rPr>
      </w:pPr>
      <w:bookmarkStart w:id="221" w:name="_Toc16667"/>
      <w:bookmarkStart w:id="222" w:name="_Toc44492452"/>
      <w:bookmarkStart w:id="223" w:name="_Toc14910"/>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施工测量</w:t>
      </w:r>
      <w:bookmarkEnd w:id="221"/>
      <w:bookmarkEnd w:id="222"/>
      <w:bookmarkEnd w:id="22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分包人应负责施工过程中的全部施工测量放线工作，并配置合格的人员、仪器、设备和其他物品。</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监理人可以通过承包人指示分包人进行抽样复测，当复测中发现错误或出现超过合同约定的误差时，分包人应按监理人指示进行修正或补测，并承担相应的复测费用。</w:t>
      </w:r>
    </w:p>
    <w:p>
      <w:pPr>
        <w:pStyle w:val="73"/>
        <w:rPr>
          <w:color w:val="000000" w:themeColor="text1"/>
          <w:highlight w:val="none"/>
          <w14:textFill>
            <w14:solidFill>
              <w14:schemeClr w14:val="tx1"/>
            </w14:solidFill>
          </w14:textFill>
        </w:rPr>
      </w:pPr>
      <w:bookmarkStart w:id="224" w:name="_Toc407356002"/>
      <w:bookmarkStart w:id="225" w:name="_Toc91082301"/>
      <w:bookmarkStart w:id="226" w:name="_Toc44492453"/>
      <w:bookmarkStart w:id="227" w:name="_Toc47512239"/>
      <w:bookmarkStart w:id="228" w:name="_Toc44227990"/>
      <w:bookmarkStart w:id="229" w:name="_Toc20338"/>
      <w:bookmarkStart w:id="230" w:name="_Toc24597"/>
      <w:r>
        <w:rPr>
          <w:rFonts w:hint="eastAsia"/>
          <w:color w:val="000000" w:themeColor="text1"/>
          <w:highlight w:val="none"/>
          <w14:textFill>
            <w14:solidFill>
              <w14:schemeClr w14:val="tx1"/>
            </w14:solidFill>
          </w14:textFill>
        </w:rPr>
        <w:t>9.施工安全、治安保卫和环境保护</w:t>
      </w:r>
      <w:bookmarkEnd w:id="224"/>
      <w:bookmarkEnd w:id="225"/>
      <w:bookmarkEnd w:id="226"/>
      <w:bookmarkEnd w:id="227"/>
      <w:bookmarkEnd w:id="228"/>
      <w:bookmarkEnd w:id="229"/>
      <w:bookmarkEnd w:id="230"/>
    </w:p>
    <w:p>
      <w:pPr>
        <w:pStyle w:val="77"/>
        <w:ind w:firstLine="480"/>
        <w:rPr>
          <w:color w:val="000000" w:themeColor="text1"/>
          <w:highlight w:val="none"/>
          <w14:textFill>
            <w14:solidFill>
              <w14:schemeClr w14:val="tx1"/>
            </w14:solidFill>
          </w14:textFill>
        </w:rPr>
      </w:pPr>
      <w:bookmarkStart w:id="231" w:name="_Toc8055"/>
      <w:bookmarkStart w:id="232" w:name="_Toc44492454"/>
      <w:bookmarkStart w:id="233" w:name="_Toc6575"/>
      <w:r>
        <w:rPr>
          <w:rFonts w:hint="eastAsia"/>
          <w:color w:val="000000" w:themeColor="text1"/>
          <w:highlight w:val="none"/>
          <w14:textFill>
            <w14:solidFill>
              <w14:schemeClr w14:val="tx1"/>
            </w14:solidFill>
          </w14:textFill>
        </w:rPr>
        <w:t>9.1.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分包人的施工安全责任</w:t>
      </w:r>
      <w:bookmarkEnd w:id="231"/>
      <w:bookmarkEnd w:id="232"/>
      <w:bookmarkEnd w:id="23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严格遵守工程建设安全生产有关管理规定，严格按安全标准组织施工，并随时接受相关安全检查人员依法实施的监督检查，采取充分的安全防护措施，消除事故隐患。除非发包人或监理人通过承包人强令分包人违章作业、冒险施工和单纯因发包人、承包人责任所造成，安全措施不力事故的责任和因此发生的费用，均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分包人应按合同约定履行安全职责,执行监理人有关安全工作的指示，按合同约定的安全工作内容，编制施工安全措施计划报送监理人审批。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分包人应加强施工作业安全管理，特别应加强易燃、易爆材料、火工器材、有毒与腐蚀性材料和其他危险品的管理，以及对爆破作业和地下工程施工等危险作业的管理。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分包人应严格按照国家安全标准制定施工安全操作规程，配备必要的安全生产和劳动保护设施，加强对分包人人员的安全教育，并发放安全工作手册和劳动保护用具。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分包人应按监理人的指示制定应对灾害的紧急预案，通过承包人报送监理人审批。分包人还应按预案做好安全检查，配置必要的救助物资和器材，切实保护好有关人员的人身和财产安全。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合同约定的安全作业环境及安全施工措施所需费用应遵守有关规定，并已包括在暂定合同总价和绿色施工安全防护措施费、相关工作的综合单价中。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分包人应对其履行合同所雇佣的全部人员的工伤事故承担责任。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由于分包人原因在施工场地内及其毗邻地带造成的第三者人员伤亡和财产损失，由分包人负责赔偿。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分包人如违反安全操作规程，被行政执法部门处罚，由此产生的相关费用由分包人承担。若因此影响发包人声誉导致承包人受处罚的，则承包人有权向分包人相应索赔。</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或发包人代表可通过承包人要求立刻撤走任何现场被他认为未能适当地遵守安全施工规定的人员。而无论在任何情况下，此等被解雇的员工在未取得承包人、发包人的书面同意前，均不应再获受雇于现场工作。</w:t>
      </w:r>
    </w:p>
    <w:p>
      <w:pPr>
        <w:pStyle w:val="77"/>
        <w:ind w:firstLine="480"/>
        <w:rPr>
          <w:color w:val="000000" w:themeColor="text1"/>
          <w:highlight w:val="none"/>
          <w14:textFill>
            <w14:solidFill>
              <w14:schemeClr w14:val="tx1"/>
            </w14:solidFill>
          </w14:textFill>
        </w:rPr>
      </w:pPr>
      <w:bookmarkStart w:id="234" w:name="_Toc44492455"/>
      <w:bookmarkStart w:id="235" w:name="_Toc30837"/>
      <w:bookmarkStart w:id="236" w:name="_Toc19513"/>
      <w:r>
        <w:rPr>
          <w:rFonts w:hint="eastAsia"/>
          <w:color w:val="000000" w:themeColor="text1"/>
          <w:highlight w:val="none"/>
          <w14:textFill>
            <w14:solidFill>
              <w14:schemeClr w14:val="tx1"/>
            </w14:solidFill>
          </w14:textFill>
        </w:rPr>
        <w:t>9.2.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治安保卫</w:t>
      </w:r>
      <w:bookmarkEnd w:id="234"/>
      <w:bookmarkEnd w:id="235"/>
      <w:bookmarkEnd w:id="23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9.2.</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分包人除应协助现场治安管理机构或联防组织维护施工场地的社会治安外，还应做好包括生活区在内的管辖区的治安保卫工作。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9.2.</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工程施工过程中，发生暴乱、爆炸等恐怖事件，以及群殴、械斗等群体性突发治安事件的，承包人和分包人应立即向当地政府报告。分包人应积极协助当地有关部门采取措施平息事态，防止事态扩大，尽量减少财产损失和避免人员伤亡。</w:t>
      </w:r>
    </w:p>
    <w:p>
      <w:pPr>
        <w:pStyle w:val="77"/>
        <w:ind w:firstLine="480"/>
        <w:rPr>
          <w:color w:val="000000" w:themeColor="text1"/>
          <w:highlight w:val="none"/>
          <w14:textFill>
            <w14:solidFill>
              <w14:schemeClr w14:val="tx1"/>
            </w14:solidFill>
          </w14:textFill>
        </w:rPr>
      </w:pPr>
      <w:bookmarkStart w:id="237" w:name="_Toc21139"/>
      <w:bookmarkStart w:id="238" w:name="_Toc1459"/>
      <w:bookmarkStart w:id="239" w:name="_Toc44492456"/>
      <w:r>
        <w:rPr>
          <w:rFonts w:hint="eastAsia"/>
          <w:color w:val="000000" w:themeColor="text1"/>
          <w:highlight w:val="none"/>
          <w14:textFill>
            <w14:solidFill>
              <w14:schemeClr w14:val="tx1"/>
            </w14:solidFill>
          </w14:textFill>
        </w:rPr>
        <w:t>9.3.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环境保护</w:t>
      </w:r>
      <w:bookmarkEnd w:id="237"/>
      <w:bookmarkEnd w:id="238"/>
      <w:bookmarkEnd w:id="23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分包人在施工过程中，应遵守有关环境保护的法律，履行合同约定的环境保护义务，并对违反法律和合同约定义务所造成的环境破坏、人身伤害和财产损失负责。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分包人应按合同约定的环保工作内容，编制施工环保措施计划，通过承包人报送监理人或业主审批。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有序地堆放和处理施工废弃物，避免对环境造成破坏。因分包人任意堆放或弃置施工废弃物造成妨碍公共交通、影响城镇居民生活、降低河流行洪能力、危及居民安全、破坏周边环境，或者影响其他分包人施工等后果的，分包人应承担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分包人应按合同约定，加强对噪声、粉尘、废气、废水和废油的控制，努力降低噪声，控制粉尘和废气浓度，做好废水和废油的治理和排放。</w:t>
      </w:r>
    </w:p>
    <w:p>
      <w:pPr>
        <w:pStyle w:val="77"/>
        <w:ind w:firstLine="480"/>
        <w:rPr>
          <w:color w:val="000000" w:themeColor="text1"/>
          <w:highlight w:val="none"/>
          <w14:textFill>
            <w14:solidFill>
              <w14:schemeClr w14:val="tx1"/>
            </w14:solidFill>
          </w14:textFill>
        </w:rPr>
      </w:pPr>
      <w:bookmarkStart w:id="240" w:name="_Toc21843"/>
      <w:bookmarkStart w:id="241" w:name="_Toc44492457"/>
      <w:bookmarkStart w:id="242" w:name="_Toc6004"/>
      <w:r>
        <w:rPr>
          <w:rFonts w:hint="eastAsia"/>
          <w:color w:val="000000" w:themeColor="text1"/>
          <w:highlight w:val="none"/>
          <w14:textFill>
            <w14:solidFill>
              <w14:schemeClr w14:val="tx1"/>
            </w14:solidFill>
          </w14:textFill>
        </w:rPr>
        <w:t>9.4.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事故处理</w:t>
      </w:r>
      <w:bookmarkEnd w:id="240"/>
      <w:bookmarkEnd w:id="241"/>
      <w:bookmarkEnd w:id="24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施工过程中发生事故的，分包人应通过承包人立即通知监理人和发包人，并立即组织人员和设备进行紧急抢救和抢修，减少人员伤亡和财产损失，防止事故扩大，并保护事故现场。事故处理的费用在事故处理结束后由确定的责任方承担，分包人不得以事故责任或费用承担的争议为由拒不进行抢救和抢修。事故原因系由分包人引起，则分包人无权要求顺延工期或增加价款；由此给发包人造成损失的（包括政府部门对于发包人作出的处罚），承包人按总承包合同约定赔偿发包人，分包人相应赔偿承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发包人、承包人、分包人对事故责任有争议时，应按政府有关部门的认定处理。</w:t>
      </w:r>
    </w:p>
    <w:p>
      <w:pPr>
        <w:pStyle w:val="73"/>
        <w:rPr>
          <w:color w:val="000000" w:themeColor="text1"/>
          <w:highlight w:val="none"/>
          <w14:textFill>
            <w14:solidFill>
              <w14:schemeClr w14:val="tx1"/>
            </w14:solidFill>
          </w14:textFill>
        </w:rPr>
      </w:pPr>
      <w:bookmarkStart w:id="243" w:name="_Toc44227991"/>
      <w:bookmarkStart w:id="244" w:name="_Toc91082302"/>
      <w:bookmarkStart w:id="245" w:name="_Toc31865"/>
      <w:bookmarkStart w:id="246" w:name="_Toc44492458"/>
      <w:bookmarkStart w:id="247" w:name="_Toc28501"/>
      <w:bookmarkStart w:id="248" w:name="_Toc47512240"/>
      <w:bookmarkStart w:id="249" w:name="_Toc407356003"/>
      <w:r>
        <w:rPr>
          <w:rFonts w:hint="eastAsia"/>
          <w:color w:val="000000" w:themeColor="text1"/>
          <w:highlight w:val="none"/>
          <w14:textFill>
            <w14:solidFill>
              <w14:schemeClr w14:val="tx1"/>
            </w14:solidFill>
          </w14:textFill>
        </w:rPr>
        <w:t>10.进度计划</w:t>
      </w:r>
      <w:bookmarkEnd w:id="243"/>
      <w:bookmarkEnd w:id="244"/>
      <w:bookmarkEnd w:id="245"/>
      <w:bookmarkEnd w:id="246"/>
      <w:bookmarkEnd w:id="247"/>
      <w:bookmarkEnd w:id="248"/>
      <w:bookmarkEnd w:id="249"/>
    </w:p>
    <w:p>
      <w:pPr>
        <w:pStyle w:val="77"/>
        <w:ind w:firstLine="480"/>
        <w:rPr>
          <w:color w:val="000000" w:themeColor="text1"/>
          <w:highlight w:val="none"/>
          <w14:textFill>
            <w14:solidFill>
              <w14:schemeClr w14:val="tx1"/>
            </w14:solidFill>
          </w14:textFill>
        </w:rPr>
      </w:pPr>
      <w:bookmarkStart w:id="250" w:name="_Toc44492459"/>
      <w:bookmarkStart w:id="251" w:name="_Toc10547"/>
      <w:bookmarkStart w:id="252" w:name="_Toc4295"/>
      <w:r>
        <w:rPr>
          <w:rFonts w:hint="eastAsia"/>
          <w:color w:val="000000" w:themeColor="text1"/>
          <w:highlight w:val="none"/>
          <w14:textFill>
            <w14:solidFill>
              <w14:schemeClr w14:val="tx1"/>
            </w14:solidFill>
          </w14:textFill>
        </w:rPr>
        <w:t>10.1.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合同进度计划</w:t>
      </w:r>
      <w:bookmarkEnd w:id="250"/>
      <w:bookmarkEnd w:id="251"/>
      <w:bookmarkEnd w:id="25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专用条款约定的内容和期限，编制详细的施工进度计划通过承包人报送监理人或发包人。监理人应在专用条款约定的期限内征求发包人意见后，批复或提出修改意见。经监理人批准的施工进度计划为合同进度计划，是控制合同工程进度的依据。分包人还应根据合同进度计划，编制更为详细的分阶段或分项进度计划，通过承包人报监理人或发包人审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合同实施过程中发包人控制的工期节点时间在专用条款中说明。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必须按发包人、监理人和承包人确认的进度计划组织施工，接受承包人、发包人和监理人对进度的检查、监督。工程实际进度与经确认的进度计划不符时，分包人应按承包人、发包人和监理人的要求提出改进措施，经承包人、发包人和监理人确认后执行。因分包人的原因导致实际进度与进度计划不符，分包人不但无权就改进措施提出追加合同价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专用条款约定的日期通过承包人向发包人及监理人报送当月完工报表及下月施工计划（月计划必须满足工程总体计划要求），如不按时报送或所报计划不能满足承包人及发包人要求，承包人可延期支付工程进度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无论发包人何时需要，分包人还应以书面形式通过承包人提交一份对其进行分包工程的施工安排和拟采用方法的总体说明，供发包人参考。如果发包人认为分包工程的实际进度不符合他已同意的进度计划时，分包人应根据发包人的要求提交一份修订的进度计划，表明为保证分包工程在分包人的竣工时间内完工而对原进度计划所作的必要修改，但发包人对分包人的管理不能免除承包人对分包的管理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分包人保证承包项目在合同工期内完成，同时保证给予分包项目以合理的施工衔接环节与施工进度时间，确保各项工程均在合同工期内同步进行。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进度计划是分包人出具的对承包人、发包人的最低承诺，发包人或监理人对施工进度计划的批准,并不解除分包人根据合同规定应承担的责任，经发包人或监理人批准的施工进度计划本身出现问题或错误时，一切额外支出和工期延误由分包人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w:t>
      </w: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发包人代表或监理人认为工程的进度滞后于原定的施工计划，不能按工期完成时，发包人代表或监理人有权通过承包人通知分包人采取适当的、必要的措施，在保证工程质量和安全的前提下加快工程进度以便按时完工。分包人采取这种措施无权另收费用。</w:t>
      </w:r>
      <w:bookmarkStart w:id="253" w:name="_Toc15433"/>
      <w:bookmarkStart w:id="254" w:name="_Toc44492460"/>
      <w:bookmarkStart w:id="255" w:name="_Toc1197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合同进度计划的修订</w:t>
      </w:r>
      <w:bookmarkEnd w:id="253"/>
      <w:bookmarkEnd w:id="254"/>
      <w:bookmarkEnd w:id="255"/>
      <w:bookmarkStart w:id="256" w:name="_Toc4449246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论何种原因造成工程的实际进度与第10.1款的合同进度计划不符时，分包人可以通过承包人向监理人或发包人提交修订合同进度计划的申请报告，并附有关措施和相关资料，报监理人及发包人审批；发包人认为本工程或其中任何部分工程进度滞后而不能按预定工期完工，有权通过承包人向分包人发出修订工程进度计划的书面指令。分包人应在接到发包人指令后的七（7）天内将修订后的进度计划通过承包人提交给发包人。修改后的工程进度计划，仍应保证本合同工程在合同约定的工期内完成。同时分包人应加大投入，确保工程能在合同约定的工期内完成。如分包人未能在此时限内提交修订后的进度计划或未采取有效措施，发包人有权要求承包人单方面解除合同，或要求承包人将未完工程的全部或一部分另行安排给其他有能力的分包商，分包人必须无条件服从，由此产生的费用由分包人承担，发包人有权通过承包人从应支付给分包人的任何款项中予以扣除，且不免除分包人应负的责任和义务。监理人也可以直接通过承包人向分包人作出修订合同进度计划的指示，分包人应按该指示修订合同进度计划，通过承包人报监理人审批，监理人在批复前应获得发包人同意。</w:t>
      </w:r>
      <w:bookmarkEnd w:id="256"/>
    </w:p>
    <w:p>
      <w:pPr>
        <w:pStyle w:val="73"/>
        <w:rPr>
          <w:color w:val="000000" w:themeColor="text1"/>
          <w:highlight w:val="none"/>
          <w14:textFill>
            <w14:solidFill>
              <w14:schemeClr w14:val="tx1"/>
            </w14:solidFill>
          </w14:textFill>
        </w:rPr>
      </w:pPr>
      <w:bookmarkStart w:id="257" w:name="_Toc7010"/>
      <w:bookmarkStart w:id="258" w:name="_Toc44492462"/>
      <w:bookmarkStart w:id="259" w:name="_Toc29027"/>
      <w:bookmarkStart w:id="260" w:name="_Toc407356004"/>
      <w:bookmarkStart w:id="261" w:name="_Toc91082303"/>
      <w:bookmarkStart w:id="262" w:name="_Toc47512241"/>
      <w:bookmarkStart w:id="263" w:name="_Toc44227992"/>
      <w:r>
        <w:rPr>
          <w:rFonts w:hint="eastAsia"/>
          <w:color w:val="000000" w:themeColor="text1"/>
          <w:highlight w:val="none"/>
          <w14:textFill>
            <w14:solidFill>
              <w14:schemeClr w14:val="tx1"/>
            </w14:solidFill>
          </w14:textFill>
        </w:rPr>
        <w:t>11.开工和竣工</w:t>
      </w:r>
      <w:bookmarkEnd w:id="257"/>
      <w:bookmarkEnd w:id="258"/>
      <w:bookmarkEnd w:id="259"/>
      <w:bookmarkEnd w:id="260"/>
      <w:bookmarkEnd w:id="261"/>
      <w:bookmarkEnd w:id="262"/>
      <w:bookmarkEnd w:id="263"/>
    </w:p>
    <w:p>
      <w:pPr>
        <w:pStyle w:val="77"/>
        <w:ind w:firstLine="480"/>
        <w:rPr>
          <w:color w:val="000000" w:themeColor="text1"/>
          <w:highlight w:val="none"/>
          <w14:textFill>
            <w14:solidFill>
              <w14:schemeClr w14:val="tx1"/>
            </w14:solidFill>
          </w14:textFill>
        </w:rPr>
      </w:pPr>
      <w:bookmarkStart w:id="264" w:name="_Toc15206"/>
      <w:bookmarkStart w:id="265" w:name="_Toc44492463"/>
      <w:bookmarkStart w:id="266" w:name="_Toc13747"/>
      <w:r>
        <w:rPr>
          <w:rFonts w:hint="eastAsia"/>
          <w:color w:val="000000" w:themeColor="text1"/>
          <w:highlight w:val="none"/>
          <w14:textFill>
            <w14:solidFill>
              <w14:schemeClr w14:val="tx1"/>
            </w14:solidFill>
          </w14:textFill>
        </w:rPr>
        <w:t>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开工</w:t>
      </w:r>
      <w:bookmarkEnd w:id="264"/>
      <w:bookmarkEnd w:id="265"/>
      <w:bookmarkEnd w:id="26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的合同进度计划，通过承包人向监理人或发包人提交工程开工报审表，经监理人或发包人审批后执行。开工报审表应详细说明按合同进度计划正常施工所需的施工道路、临时设施、材料设备、施工人员等施工组织措施的落实情况以及工程的进度安排。</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开工前检查本工程工地上已由其他施工单位完成而又会影响到本工程的所有工程之标高、定位、尺寸、质量等，只要该等工程符合国家规范要求，分包人就必须接收施工场地。若此等已完成工程内存在错误或不符合本工程的需要，分包人应当立刻书面通知发包人。一旦分包人接收施工场地或本工程已经开工，且未通知发包人已完成工程内存在的错误或不配合本工程需要之处，则均视为前条所述已完工程均已符合国家规范并满足本工程需要，此后如发现该等已完工程仍存在需要整改或修补或不满足本工程需要的情形，则一切责任由分包人自行承担，本合同项下工期及各项暂定合同总价均不作调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不能按时开工的，应当不迟于发包人要求的开工日期前7天，以书面形式向发包人和监理人提出延期开工的理由和要求。发包人和监理人应当在接到延期开工申请后的48小时内以书面形式答复分包人。发包人和监理人在接到延期开工申请后48小时内不答复，视为同意分包人要求，工期相应顺延。发包人和监理人不同意延期要求或分包人未在规定时间内提出延期开工要求，工期不予顺延。</w:t>
      </w:r>
    </w:p>
    <w:p>
      <w:pPr>
        <w:pStyle w:val="77"/>
        <w:ind w:firstLine="480"/>
        <w:rPr>
          <w:color w:val="000000" w:themeColor="text1"/>
          <w:highlight w:val="none"/>
          <w14:textFill>
            <w14:solidFill>
              <w14:schemeClr w14:val="tx1"/>
            </w14:solidFill>
          </w14:textFill>
        </w:rPr>
      </w:pPr>
      <w:bookmarkStart w:id="267" w:name="_Toc15601"/>
      <w:bookmarkStart w:id="268" w:name="_Toc29150"/>
      <w:bookmarkStart w:id="269" w:name="_Toc44492464"/>
      <w:r>
        <w:rPr>
          <w:rFonts w:hint="eastAsia"/>
          <w:color w:val="000000" w:themeColor="text1"/>
          <w:highlight w:val="none"/>
          <w14:textFill>
            <w14:solidFill>
              <w14:schemeClr w14:val="tx1"/>
            </w14:solidFill>
          </w14:textFill>
        </w:rPr>
        <w:t>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w:t>
      </w:r>
      <w:bookmarkEnd w:id="267"/>
      <w:bookmarkEnd w:id="268"/>
      <w:bookmarkEnd w:id="2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分包人应在合同约定的期限内完成合同工程。</w:t>
      </w:r>
    </w:p>
    <w:p>
      <w:pPr>
        <w:pStyle w:val="77"/>
        <w:ind w:firstLine="480"/>
        <w:rPr>
          <w:color w:val="000000" w:themeColor="text1"/>
          <w:highlight w:val="none"/>
          <w14:textFill>
            <w14:solidFill>
              <w14:schemeClr w14:val="tx1"/>
            </w14:solidFill>
          </w14:textFill>
        </w:rPr>
      </w:pPr>
      <w:bookmarkStart w:id="270" w:name="_Toc17979"/>
      <w:bookmarkStart w:id="271" w:name="_Toc44492465"/>
      <w:bookmarkStart w:id="272" w:name="_Toc6841"/>
      <w:r>
        <w:rPr>
          <w:rFonts w:hint="eastAsia"/>
          <w:color w:val="000000" w:themeColor="text1"/>
          <w:highlight w:val="none"/>
          <w14:textFill>
            <w14:solidFill>
              <w14:schemeClr w14:val="tx1"/>
            </w14:solidFill>
          </w14:textFill>
        </w:rPr>
        <w:t>11.3.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发包人的工期延误</w:t>
      </w:r>
      <w:bookmarkEnd w:id="270"/>
      <w:bookmarkEnd w:id="271"/>
      <w:bookmarkEnd w:id="27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在履行合同过程中，由于发包人的下列原因造成工期延误，分包人有权通过承包人要求发包人延长工期，但不得因此索赔费用。需要修订合同进度计划的，按照第10.2款的约定办理。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发包人未能按的约定提供图纸及开工条件；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发包人迟延提供材料、工程设备；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约定的其他情形。</w:t>
      </w:r>
    </w:p>
    <w:p>
      <w:pPr>
        <w:pStyle w:val="77"/>
        <w:ind w:firstLine="480"/>
        <w:rPr>
          <w:color w:val="000000" w:themeColor="text1"/>
          <w:highlight w:val="none"/>
          <w14:textFill>
            <w14:solidFill>
              <w14:schemeClr w14:val="tx1"/>
            </w14:solidFill>
          </w14:textFill>
        </w:rPr>
      </w:pPr>
      <w:bookmarkStart w:id="273" w:name="_Toc1176"/>
      <w:bookmarkStart w:id="274" w:name="_Toc44492466"/>
      <w:bookmarkStart w:id="275" w:name="_Toc506"/>
      <w:r>
        <w:rPr>
          <w:rFonts w:hint="eastAsia"/>
          <w:color w:val="000000" w:themeColor="text1"/>
          <w:highlight w:val="none"/>
          <w14:textFill>
            <w14:solidFill>
              <w14:schemeClr w14:val="tx1"/>
            </w14:solidFill>
          </w14:textFill>
        </w:rPr>
        <w:t>11.4.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异常恶劣的气候条件</w:t>
      </w:r>
      <w:bookmarkEnd w:id="273"/>
      <w:bookmarkEnd w:id="274"/>
      <w:bookmarkEnd w:id="27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由于出现专用条款规定的异常恶劣气候的条件导致工期延误的，分包人有权通过承包人要求发包人延长工期。</w:t>
      </w:r>
    </w:p>
    <w:p>
      <w:pPr>
        <w:pStyle w:val="77"/>
        <w:ind w:firstLine="480"/>
        <w:rPr>
          <w:color w:val="000000" w:themeColor="text1"/>
          <w:highlight w:val="none"/>
          <w14:textFill>
            <w14:solidFill>
              <w14:schemeClr w14:val="tx1"/>
            </w14:solidFill>
          </w14:textFill>
        </w:rPr>
      </w:pPr>
      <w:bookmarkStart w:id="276" w:name="_Toc32260"/>
      <w:bookmarkStart w:id="277" w:name="_Toc44492467"/>
      <w:bookmarkStart w:id="278" w:name="_Toc27117"/>
      <w:r>
        <w:rPr>
          <w:rFonts w:hint="eastAsia"/>
          <w:color w:val="000000" w:themeColor="text1"/>
          <w:highlight w:val="none"/>
          <w14:textFill>
            <w14:solidFill>
              <w14:schemeClr w14:val="tx1"/>
            </w14:solidFill>
          </w14:textFill>
        </w:rPr>
        <w:t>11.5.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分包人的工期延误</w:t>
      </w:r>
      <w:bookmarkEnd w:id="276"/>
      <w:bookmarkEnd w:id="277"/>
      <w:bookmarkEnd w:id="27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分包人原因，未能按合同进度计划完成工作，或监理人认为分包人施工进度不能满足合同工期要求的，分包人应采取措施加快进度，并承担加快进度所增加的费用。由于分包人原因造成节点工期延误和(或)竣工工期延误，分包人应支付逾期节点工期违约金和(或)竣工违约金给承包人，承包人按总承包合同的约定支付相应的违约金给发包人。分包人支付逾期竣工违约金，不免除分包人完成工程及修补缺陷的义务。分包人工期延误的其他约定见专用条款。</w:t>
      </w:r>
    </w:p>
    <w:p>
      <w:pPr>
        <w:pStyle w:val="77"/>
        <w:ind w:firstLine="480"/>
        <w:rPr>
          <w:color w:val="000000" w:themeColor="text1"/>
          <w:highlight w:val="none"/>
          <w14:textFill>
            <w14:solidFill>
              <w14:schemeClr w14:val="tx1"/>
            </w14:solidFill>
          </w14:textFill>
        </w:rPr>
      </w:pPr>
      <w:bookmarkStart w:id="279" w:name="_Toc20343"/>
      <w:bookmarkStart w:id="280" w:name="_Toc44492468"/>
      <w:bookmarkStart w:id="281" w:name="_Toc27291"/>
      <w:r>
        <w:rPr>
          <w:rFonts w:hint="eastAsia"/>
          <w:color w:val="000000" w:themeColor="text1"/>
          <w:highlight w:val="none"/>
          <w14:textFill>
            <w14:solidFill>
              <w14:schemeClr w14:val="tx1"/>
            </w14:solidFill>
          </w14:textFill>
        </w:rPr>
        <w:t>11.6.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工期提前</w:t>
      </w:r>
      <w:bookmarkEnd w:id="279"/>
      <w:bookmarkEnd w:id="280"/>
      <w:bookmarkEnd w:id="28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发包人通过承包人要求分包人提前竣工，或分包人提出提前竣工的建议能够给发包人带来效益的，应由监理人与承包人、分包人共同协商采取加快工程进度的措施，修订合同进度计划。 工期提前的具体奖惩约定见专用条款。</w:t>
      </w:r>
    </w:p>
    <w:p>
      <w:pPr>
        <w:pStyle w:val="73"/>
        <w:rPr>
          <w:color w:val="000000" w:themeColor="text1"/>
          <w:highlight w:val="none"/>
          <w14:textFill>
            <w14:solidFill>
              <w14:schemeClr w14:val="tx1"/>
            </w14:solidFill>
          </w14:textFill>
        </w:rPr>
      </w:pPr>
      <w:bookmarkStart w:id="282" w:name="_Toc47512242"/>
      <w:bookmarkStart w:id="283" w:name="_Toc44492469"/>
      <w:bookmarkStart w:id="284" w:name="_Toc407356005"/>
      <w:bookmarkStart w:id="285" w:name="_Toc44227993"/>
      <w:bookmarkStart w:id="286" w:name="_Toc24689"/>
      <w:bookmarkStart w:id="287" w:name="_Toc14815"/>
      <w:bookmarkStart w:id="288" w:name="_Toc91082304"/>
      <w:r>
        <w:rPr>
          <w:rFonts w:hint="eastAsia"/>
          <w:color w:val="000000" w:themeColor="text1"/>
          <w:highlight w:val="none"/>
          <w14:textFill>
            <w14:solidFill>
              <w14:schemeClr w14:val="tx1"/>
            </w14:solidFill>
          </w14:textFill>
        </w:rPr>
        <w:t>12.暂停施工</w:t>
      </w:r>
      <w:bookmarkEnd w:id="282"/>
      <w:bookmarkEnd w:id="283"/>
      <w:bookmarkEnd w:id="284"/>
      <w:bookmarkEnd w:id="285"/>
      <w:bookmarkEnd w:id="286"/>
      <w:bookmarkEnd w:id="287"/>
      <w:bookmarkEnd w:id="288"/>
    </w:p>
    <w:p>
      <w:pPr>
        <w:pStyle w:val="77"/>
        <w:ind w:firstLine="480"/>
        <w:rPr>
          <w:color w:val="000000" w:themeColor="text1"/>
          <w:highlight w:val="none"/>
          <w14:textFill>
            <w14:solidFill>
              <w14:schemeClr w14:val="tx1"/>
            </w14:solidFill>
          </w14:textFill>
        </w:rPr>
      </w:pPr>
      <w:bookmarkStart w:id="289" w:name="_Toc14730"/>
      <w:bookmarkStart w:id="290" w:name="_Toc44492470"/>
      <w:bookmarkStart w:id="291" w:name="_Toc4096"/>
      <w:r>
        <w:rPr>
          <w:rFonts w:hint="eastAsia"/>
          <w:color w:val="000000" w:themeColor="text1"/>
          <w:highlight w:val="none"/>
          <w14:textFill>
            <w14:solidFill>
              <w14:schemeClr w14:val="tx1"/>
            </w14:solidFill>
          </w14:textFill>
        </w:rPr>
        <w:t>12.1.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分包人暂停施工的责任</w:t>
      </w:r>
      <w:bookmarkEnd w:id="289"/>
      <w:bookmarkEnd w:id="290"/>
      <w:bookmarkEnd w:id="29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因下列暂停施工增加的费用和（或）工期延误由分包人承担：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分包人违约引起的暂停施工；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由于分包人原因为工程合理施工和安全保障所必需的暂停施工；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分包人擅自暂停施工；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分包人其他原因引起的暂停施工。</w:t>
      </w:r>
    </w:p>
    <w:p>
      <w:pPr>
        <w:pStyle w:val="77"/>
        <w:ind w:firstLine="480"/>
        <w:rPr>
          <w:color w:val="000000" w:themeColor="text1"/>
          <w:highlight w:val="none"/>
          <w14:textFill>
            <w14:solidFill>
              <w14:schemeClr w14:val="tx1"/>
            </w14:solidFill>
          </w14:textFill>
        </w:rPr>
      </w:pPr>
      <w:bookmarkStart w:id="292" w:name="_Toc44492471"/>
      <w:bookmarkStart w:id="293" w:name="_Toc30240"/>
      <w:bookmarkStart w:id="294" w:name="_Toc23100"/>
      <w:r>
        <w:rPr>
          <w:rFonts w:hint="eastAsia"/>
          <w:color w:val="000000" w:themeColor="text1"/>
          <w:highlight w:val="none"/>
          <w14:textFill>
            <w14:solidFill>
              <w14:schemeClr w14:val="tx1"/>
            </w14:solidFill>
          </w14:textFill>
        </w:rPr>
        <w:t>12.2.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承包人暂停施工的责任</w:t>
      </w:r>
      <w:bookmarkEnd w:id="292"/>
      <w:bookmarkEnd w:id="293"/>
      <w:bookmarkEnd w:id="29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由于承包人原因引起的暂停施工造成工期延误的，分包人有权通过承包人要求发包人延长工期和（或）增加费用。具体约定见专用条款。</w:t>
      </w:r>
    </w:p>
    <w:p>
      <w:pPr>
        <w:pStyle w:val="77"/>
        <w:ind w:firstLine="480"/>
        <w:rPr>
          <w:color w:val="000000" w:themeColor="text1"/>
          <w:highlight w:val="none"/>
          <w14:textFill>
            <w14:solidFill>
              <w14:schemeClr w14:val="tx1"/>
            </w14:solidFill>
          </w14:textFill>
        </w:rPr>
      </w:pPr>
      <w:bookmarkStart w:id="295" w:name="_Toc44492472"/>
      <w:bookmarkStart w:id="296" w:name="_Toc12192"/>
      <w:bookmarkStart w:id="297" w:name="_Toc16810"/>
      <w:r>
        <w:rPr>
          <w:rFonts w:hint="eastAsia"/>
          <w:color w:val="000000" w:themeColor="text1"/>
          <w:highlight w:val="none"/>
          <w14:textFill>
            <w14:solidFill>
              <w14:schemeClr w14:val="tx1"/>
            </w14:solidFill>
          </w14:textFill>
        </w:rPr>
        <w:t>12.3.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监理人暂停施工指示</w:t>
      </w:r>
      <w:bookmarkEnd w:id="295"/>
      <w:bookmarkEnd w:id="296"/>
      <w:bookmarkEnd w:id="29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认为有必要时，经发包人同意，可通过承包人向分包人作出暂停施工的指示，分包人应按监理人指示暂停施工。不论由于何种原因引起的暂停施工，暂停施工期间分包人应负责妥善保护工程并提供安全保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发包人的原因发生暂停施工的紧急情况，且监理人未及时下达暂停施工指示的，分包人应及时通过承包人向监理人和发包人提出暂停施工的请求。监理人和发包人应在接到请求后的24小时内予以答复，逾期未答复的，视为不同意分包人的暂停施工请求。</w:t>
      </w:r>
    </w:p>
    <w:p>
      <w:pPr>
        <w:pStyle w:val="77"/>
        <w:ind w:firstLine="480"/>
        <w:rPr>
          <w:color w:val="000000" w:themeColor="text1"/>
          <w:highlight w:val="none"/>
          <w14:textFill>
            <w14:solidFill>
              <w14:schemeClr w14:val="tx1"/>
            </w14:solidFill>
          </w14:textFill>
        </w:rPr>
      </w:pPr>
      <w:bookmarkStart w:id="298" w:name="_Toc44492473"/>
      <w:bookmarkStart w:id="299" w:name="_Toc1375"/>
      <w:bookmarkStart w:id="300" w:name="_Toc4186"/>
      <w:r>
        <w:rPr>
          <w:rFonts w:hint="eastAsia"/>
          <w:color w:val="000000" w:themeColor="text1"/>
          <w:highlight w:val="none"/>
          <w14:textFill>
            <w14:solidFill>
              <w14:schemeClr w14:val="tx1"/>
            </w14:solidFill>
          </w14:textFill>
        </w:rPr>
        <w:t>12.4.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暂停施工后的复工</w:t>
      </w:r>
      <w:bookmarkEnd w:id="298"/>
      <w:bookmarkEnd w:id="299"/>
      <w:bookmarkEnd w:id="30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暂停施工后，监理人应与发包人和承包人、分包人协商，采取有效措施积极消除暂停施工的影响，促成达到复工条件。当工程具备复工条件时，监理人应在取得发包人同意后通过承包人立即向分包人发出复工通知。分包人收到复工通知后，应在监理人指定的期限内复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发出复工通知后，监理人应和承包人、分包人一起对受到暂停施工影响的工程、材料和工程设备进行检查。分包人负责修复在暂停施工期间发生在工程、材料和工程设备上的任何损蚀、缺陷或损失，有关费用承担的约定见专用条款12.2.1条的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分包人无故拖延和拒绝复工的，由此增加的费用和工期延误由分包人承担；因发包人原因无法按时复工的，分包人有权通过承包人要求发包人延长工期和（或）增加费用。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12.4.4.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其他约定见专用条款。</w:t>
      </w:r>
    </w:p>
    <w:p>
      <w:pPr>
        <w:pStyle w:val="77"/>
        <w:ind w:firstLine="480"/>
        <w:rPr>
          <w:color w:val="000000" w:themeColor="text1"/>
          <w:highlight w:val="none"/>
          <w14:textFill>
            <w14:solidFill>
              <w14:schemeClr w14:val="tx1"/>
            </w14:solidFill>
          </w14:textFill>
        </w:rPr>
      </w:pPr>
      <w:bookmarkStart w:id="301" w:name="_Toc44492474"/>
      <w:bookmarkStart w:id="302" w:name="_Toc27597"/>
      <w:bookmarkStart w:id="303" w:name="_Toc12498"/>
      <w:r>
        <w:rPr>
          <w:rFonts w:hint="eastAsia"/>
          <w:color w:val="000000" w:themeColor="text1"/>
          <w:highlight w:val="none"/>
          <w14:textFill>
            <w14:solidFill>
              <w14:schemeClr w14:val="tx1"/>
            </w14:solidFill>
          </w14:textFill>
        </w:rPr>
        <w:t>12.5.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分包人采取合理措施防止损失扩大</w:t>
      </w:r>
      <w:bookmarkEnd w:id="301"/>
      <w:bookmarkEnd w:id="302"/>
      <w:bookmarkEnd w:id="30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无论任何原因，在工程暂停的情况下，分包人应采取合理措施，避免损失的进一步扩大。该等合理措施包括，在工程暂停期间，妥善保管已完工程，合理安排驻守工地的施工人员和机械，具体方案分包人需通过承包人报经发包人和监理人批准后实施。一旦对于窝工损失发生争议，则分包人应当证明其采取了所有可能采取的合理措施以避免损失扩大，并应当提供书面的记录或文件予以佐证。</w:t>
      </w:r>
    </w:p>
    <w:p>
      <w:pPr>
        <w:pStyle w:val="73"/>
        <w:rPr>
          <w:color w:val="000000" w:themeColor="text1"/>
          <w:highlight w:val="none"/>
          <w14:textFill>
            <w14:solidFill>
              <w14:schemeClr w14:val="tx1"/>
            </w14:solidFill>
          </w14:textFill>
        </w:rPr>
      </w:pPr>
      <w:bookmarkStart w:id="304" w:name="_Toc407356006"/>
      <w:bookmarkStart w:id="305" w:name="_Toc2177"/>
      <w:bookmarkStart w:id="306" w:name="_Toc44492475"/>
      <w:bookmarkStart w:id="307" w:name="_Toc44227994"/>
      <w:bookmarkStart w:id="308" w:name="_Toc1325"/>
      <w:bookmarkStart w:id="309" w:name="_Toc47512243"/>
      <w:bookmarkStart w:id="310" w:name="_Toc91082305"/>
      <w:r>
        <w:rPr>
          <w:rFonts w:hint="eastAsia"/>
          <w:color w:val="000000" w:themeColor="text1"/>
          <w:highlight w:val="none"/>
          <w14:textFill>
            <w14:solidFill>
              <w14:schemeClr w14:val="tx1"/>
            </w14:solidFill>
          </w14:textFill>
        </w:rPr>
        <w:t>13.工程质量</w:t>
      </w:r>
      <w:bookmarkEnd w:id="304"/>
      <w:bookmarkEnd w:id="305"/>
      <w:bookmarkEnd w:id="306"/>
      <w:bookmarkEnd w:id="307"/>
      <w:bookmarkEnd w:id="308"/>
      <w:bookmarkEnd w:id="309"/>
      <w:bookmarkEnd w:id="310"/>
    </w:p>
    <w:p>
      <w:pPr>
        <w:pStyle w:val="77"/>
        <w:ind w:firstLine="480"/>
        <w:rPr>
          <w:color w:val="000000" w:themeColor="text1"/>
          <w:highlight w:val="none"/>
          <w14:textFill>
            <w14:solidFill>
              <w14:schemeClr w14:val="tx1"/>
            </w14:solidFill>
          </w14:textFill>
        </w:rPr>
      </w:pPr>
      <w:bookmarkStart w:id="311" w:name="_Toc31261"/>
      <w:bookmarkStart w:id="312" w:name="_Toc44492476"/>
      <w:bookmarkStart w:id="313" w:name="_Toc2053"/>
      <w:r>
        <w:rPr>
          <w:rFonts w:hint="eastAsia"/>
          <w:color w:val="000000" w:themeColor="text1"/>
          <w:highlight w:val="none"/>
          <w14:textFill>
            <w14:solidFill>
              <w14:schemeClr w14:val="tx1"/>
            </w14:solidFill>
          </w14:textFill>
        </w:rPr>
        <w:t>13.1.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工程质量要求</w:t>
      </w:r>
      <w:bookmarkEnd w:id="311"/>
      <w:bookmarkEnd w:id="312"/>
      <w:bookmarkEnd w:id="31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工程质量验收按合同专用条款和法律法规规章、规范性文件规定的验收标准执行。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因分包人原因造成工程质量达不到合同约定验收标准的，监理人有权通过承包人要求分包人返工直至符合合同要求为止，由此造成的费用增加和（或）工期延误由分包人承担。</w:t>
      </w:r>
    </w:p>
    <w:p>
      <w:pPr>
        <w:pStyle w:val="77"/>
        <w:ind w:firstLine="480"/>
        <w:rPr>
          <w:color w:val="000000" w:themeColor="text1"/>
          <w:highlight w:val="none"/>
          <w14:textFill>
            <w14:solidFill>
              <w14:schemeClr w14:val="tx1"/>
            </w14:solidFill>
          </w14:textFill>
        </w:rPr>
      </w:pPr>
      <w:bookmarkStart w:id="314" w:name="_Toc3972"/>
      <w:bookmarkStart w:id="315" w:name="_Toc13256"/>
      <w:bookmarkStart w:id="316" w:name="_Toc44492477"/>
      <w:r>
        <w:rPr>
          <w:rFonts w:hint="eastAsia"/>
          <w:color w:val="000000" w:themeColor="text1"/>
          <w:highlight w:val="none"/>
          <w14:textFill>
            <w14:solidFill>
              <w14:schemeClr w14:val="tx1"/>
            </w14:solidFill>
          </w14:textFill>
        </w:rPr>
        <w:t>13.2.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分包人的质量管理</w:t>
      </w:r>
      <w:bookmarkEnd w:id="314"/>
      <w:bookmarkEnd w:id="315"/>
      <w:bookmarkEnd w:id="31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分包人应在施工场地设置专门的质量检查机构或人员，建立完善的质量检查制度。分包人应在合同约定的期限内，提交工程质量保证措施文件，包括质量检查机构或质量检查人员岗位责任、质检人员的组成、质量检查程序和实施细则等，报送监理人审批。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分包人应加强对施工人员的质量教育和技术培训，定期考核施工人员的劳动技能，严格执行规范和操作规程。</w:t>
      </w:r>
    </w:p>
    <w:p>
      <w:pPr>
        <w:pStyle w:val="77"/>
        <w:ind w:firstLine="480"/>
        <w:rPr>
          <w:color w:val="000000" w:themeColor="text1"/>
          <w:highlight w:val="none"/>
          <w14:textFill>
            <w14:solidFill>
              <w14:schemeClr w14:val="tx1"/>
            </w14:solidFill>
          </w14:textFill>
        </w:rPr>
      </w:pPr>
      <w:bookmarkStart w:id="317" w:name="_Toc44492478"/>
      <w:bookmarkStart w:id="318" w:name="_Toc28683"/>
      <w:bookmarkStart w:id="319" w:name="_Toc21520"/>
      <w:r>
        <w:rPr>
          <w:rFonts w:hint="eastAsia"/>
          <w:color w:val="000000" w:themeColor="text1"/>
          <w:highlight w:val="none"/>
          <w14:textFill>
            <w14:solidFill>
              <w14:schemeClr w14:val="tx1"/>
            </w14:solidFill>
          </w14:textFill>
        </w:rPr>
        <w:t>13.3.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分包人的质量检查</w:t>
      </w:r>
      <w:bookmarkEnd w:id="317"/>
      <w:bookmarkEnd w:id="318"/>
      <w:bookmarkEnd w:id="31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分包人应按合同约定对材料、工程设备以及工程的所有部位及其施工工艺进行全过程的质量检查和检验，并作详细记录，编制工程质量报表，通过承包人报送监理人审查。</w:t>
      </w:r>
    </w:p>
    <w:p>
      <w:pPr>
        <w:pStyle w:val="77"/>
        <w:ind w:firstLine="480"/>
        <w:rPr>
          <w:color w:val="000000" w:themeColor="text1"/>
          <w:highlight w:val="none"/>
          <w14:textFill>
            <w14:solidFill>
              <w14:schemeClr w14:val="tx1"/>
            </w14:solidFill>
          </w14:textFill>
        </w:rPr>
      </w:pPr>
      <w:bookmarkStart w:id="320" w:name="_Toc28118"/>
      <w:bookmarkStart w:id="321" w:name="_Toc10065"/>
      <w:bookmarkStart w:id="322" w:name="_Toc44492479"/>
      <w:r>
        <w:rPr>
          <w:rFonts w:hint="eastAsia"/>
          <w:color w:val="000000" w:themeColor="text1"/>
          <w:highlight w:val="none"/>
          <w14:textFill>
            <w14:solidFill>
              <w14:schemeClr w14:val="tx1"/>
            </w14:solidFill>
          </w14:textFill>
        </w:rPr>
        <w:t>13.4.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监理人的质量检查</w:t>
      </w:r>
      <w:bookmarkEnd w:id="320"/>
      <w:bookmarkEnd w:id="321"/>
      <w:bookmarkEnd w:id="32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有权对工程的所有部位及其施工工艺、材料和工程设备进行检查和检验。分包人应为监理人的检查和检验提供方便，包括监理人到施工场地，或制造、加工地点，或合同约定的其他地方进行察看和查阅施工原始记录。分包人还应按监理人指示，进行施工场地取样试验、工程复核测量和设备性能检测，提供试验样品、提交试验报告和测量成果以及监理人要求进行的其他工作。监理人的检查和检验，不免除分包人按合同约定应负的责任。</w:t>
      </w:r>
    </w:p>
    <w:p>
      <w:pPr>
        <w:pStyle w:val="77"/>
        <w:ind w:firstLine="480"/>
        <w:rPr>
          <w:color w:val="000000" w:themeColor="text1"/>
          <w:highlight w:val="none"/>
          <w14:textFill>
            <w14:solidFill>
              <w14:schemeClr w14:val="tx1"/>
            </w14:solidFill>
          </w14:textFill>
        </w:rPr>
      </w:pPr>
      <w:bookmarkStart w:id="323" w:name="_Toc32064"/>
      <w:bookmarkStart w:id="324" w:name="_Toc44492480"/>
      <w:bookmarkStart w:id="325" w:name="_Toc18740"/>
      <w:r>
        <w:rPr>
          <w:rFonts w:hint="eastAsia"/>
          <w:color w:val="000000" w:themeColor="text1"/>
          <w:highlight w:val="none"/>
          <w14:textFill>
            <w14:solidFill>
              <w14:schemeClr w14:val="tx1"/>
            </w14:solidFill>
          </w14:textFill>
        </w:rPr>
        <w:t>13.5.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工程隐蔽部位覆盖前的检查</w:t>
      </w:r>
      <w:bookmarkEnd w:id="323"/>
      <w:bookmarkEnd w:id="324"/>
      <w:bookmarkEnd w:id="32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通知监理人检查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经分包人自检确认的工程隐蔽部位具备覆盖条件后，分包人应通过承包人通知监理人在约定的期限内检查并通知发包人到场。</w:t>
      </w:r>
      <w:r>
        <w:rPr>
          <w:rFonts w:hint="eastAsia" w:ascii="宋体" w:hAnsi="宋体"/>
          <w:color w:val="000000" w:themeColor="text1"/>
          <w:highlight w:val="none"/>
          <w14:textFill>
            <w14:solidFill>
              <w14:schemeClr w14:val="tx1"/>
            </w14:solidFill>
          </w14:textFill>
        </w:rPr>
        <w:t>除专用合同条款另有规定外，分包人应在共同检查前48小时</w:t>
      </w:r>
      <w:r>
        <w:rPr>
          <w:rFonts w:hint="eastAsia"/>
          <w:color w:val="000000" w:themeColor="text1"/>
          <w:highlight w:val="none"/>
          <w14:textFill>
            <w14:solidFill>
              <w14:schemeClr w14:val="tx1"/>
            </w14:solidFill>
          </w14:textFill>
        </w:rPr>
        <w:t>通过承包人</w:t>
      </w:r>
      <w:r>
        <w:rPr>
          <w:rFonts w:hint="eastAsia" w:ascii="宋体" w:hAnsi="宋体"/>
          <w:color w:val="000000" w:themeColor="text1"/>
          <w:highlight w:val="none"/>
          <w14:textFill>
            <w14:solidFill>
              <w14:schemeClr w14:val="tx1"/>
            </w14:solidFill>
          </w14:textFill>
        </w:rPr>
        <w:t>书面通知发包人和监理人。</w:t>
      </w:r>
      <w:r>
        <w:rPr>
          <w:rFonts w:hint="eastAsia"/>
          <w:color w:val="000000" w:themeColor="text1"/>
          <w:highlight w:val="none"/>
          <w14:textFill>
            <w14:solidFill>
              <w14:schemeClr w14:val="tx1"/>
            </w14:solidFill>
          </w14:textFill>
        </w:rPr>
        <w:t>分包人的通知应附有自检记录和必要的检查资料。监理人应按时到场检查经监理人检查确认质量符合隐蔽要求，并在检查记录上签字后，分包人才能进行覆盖。如监理人检查确认质量不合格的，分包人应在监理人指示的时间内完成修复，并通知监理人重新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监理人未到场检查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监理人未按第13.5.1项约定的时间到场检查的，除监理人另有指示外，分包人须在发包人、承包人在场的情况下自行完成覆盖工作（发包人在场并不视同发包人对该隐蔽部位质量的认可，同时不免除分包人按合同约定应负的责任），并作相应记录报送监理人，监理人应签字确认。监理人事后对检查记录有疑问的，可按第13.5.3项的约定重新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监理人重新检查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按第13.5.1项或第13.5.2项覆盖工程隐蔽部位后，监理人对质量有疑问的，经发包人同意后,可通过承包人要求分包人对已覆盖的部位进行钻孔探测或揭开重新检验，分包人应遵照执行，并在检验后重新覆盖恢复原状。重新检查时，分包人应通过承包人通知发包人到场，经检验证明工程质量符合合同要求的，由发包人承担由此增加的费用和（或）工期延误（根据总承包合同，发包人支付相关增加费用给承包人，承包人根据本合同把响应金额支付给分包人）；经检验证明工程质量不符合合同要求的，由此增加的费用和（或）工期延误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分包人私自覆盖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分包人未通过承包人通知监理人到场检查，私自将工程隐蔽部位覆盖的，监理人有权通过承包人指示分包人钻孔探测或揭开检查，由此增加的费用和（或）工期延误由分包人承担。</w:t>
      </w:r>
    </w:p>
    <w:p>
      <w:pPr>
        <w:pStyle w:val="77"/>
        <w:ind w:firstLine="480"/>
        <w:rPr>
          <w:color w:val="000000" w:themeColor="text1"/>
          <w:highlight w:val="none"/>
          <w14:textFill>
            <w14:solidFill>
              <w14:schemeClr w14:val="tx1"/>
            </w14:solidFill>
          </w14:textFill>
        </w:rPr>
      </w:pPr>
      <w:bookmarkStart w:id="326" w:name="_Toc24635"/>
      <w:bookmarkStart w:id="327" w:name="_Toc44492481"/>
      <w:bookmarkStart w:id="328" w:name="_Toc2141"/>
      <w:r>
        <w:rPr>
          <w:rFonts w:hint="eastAsia"/>
          <w:color w:val="000000" w:themeColor="text1"/>
          <w:highlight w:val="none"/>
          <w14:textFill>
            <w14:solidFill>
              <w14:schemeClr w14:val="tx1"/>
            </w14:solidFill>
          </w14:textFill>
        </w:rPr>
        <w:t>13.6.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清除不合格工程</w:t>
      </w:r>
      <w:bookmarkEnd w:id="326"/>
      <w:bookmarkEnd w:id="327"/>
      <w:bookmarkEnd w:id="32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使用不合格材料、工程设备，或采用不适当的施工工艺，或施工不当，造成工程不合格的，监理人可以随时发出指示，要求分包人立即采取措施进行补救，直至达到合同要求的质量标准，由此增加的费用和（或）工期延误由分包人承担。</w:t>
      </w:r>
    </w:p>
    <w:p>
      <w:pPr>
        <w:pStyle w:val="73"/>
        <w:rPr>
          <w:color w:val="000000" w:themeColor="text1"/>
          <w:highlight w:val="none"/>
          <w14:textFill>
            <w14:solidFill>
              <w14:schemeClr w14:val="tx1"/>
            </w14:solidFill>
          </w14:textFill>
        </w:rPr>
      </w:pPr>
      <w:bookmarkStart w:id="329" w:name="_Toc91082306"/>
      <w:bookmarkStart w:id="330" w:name="_Toc32698"/>
      <w:bookmarkStart w:id="331" w:name="_Toc47512244"/>
      <w:bookmarkStart w:id="332" w:name="_Toc30255"/>
      <w:bookmarkStart w:id="333" w:name="_Toc44492482"/>
      <w:bookmarkStart w:id="334" w:name="_Toc407356007"/>
      <w:bookmarkStart w:id="335" w:name="_Toc44227995"/>
      <w:r>
        <w:rPr>
          <w:rFonts w:hint="eastAsia"/>
          <w:color w:val="000000" w:themeColor="text1"/>
          <w:highlight w:val="none"/>
          <w14:textFill>
            <w14:solidFill>
              <w14:schemeClr w14:val="tx1"/>
            </w14:solidFill>
          </w14:textFill>
        </w:rPr>
        <w:t>14.试验和检验</w:t>
      </w:r>
      <w:bookmarkEnd w:id="329"/>
      <w:bookmarkEnd w:id="330"/>
      <w:bookmarkEnd w:id="331"/>
      <w:bookmarkEnd w:id="332"/>
      <w:bookmarkEnd w:id="333"/>
      <w:bookmarkEnd w:id="334"/>
      <w:bookmarkEnd w:id="335"/>
    </w:p>
    <w:p>
      <w:pPr>
        <w:pStyle w:val="77"/>
        <w:ind w:firstLine="480"/>
        <w:rPr>
          <w:color w:val="000000" w:themeColor="text1"/>
          <w:highlight w:val="none"/>
          <w14:textFill>
            <w14:solidFill>
              <w14:schemeClr w14:val="tx1"/>
            </w14:solidFill>
          </w14:textFill>
        </w:rPr>
      </w:pPr>
      <w:bookmarkStart w:id="336" w:name="_Toc44492483"/>
      <w:bookmarkStart w:id="337" w:name="_Toc24556"/>
      <w:bookmarkStart w:id="338" w:name="_Toc20790"/>
      <w:r>
        <w:rPr>
          <w:rFonts w:hint="eastAsia"/>
          <w:color w:val="000000" w:themeColor="text1"/>
          <w:highlight w:val="none"/>
          <w14:textFill>
            <w14:solidFill>
              <w14:schemeClr w14:val="tx1"/>
            </w14:solidFill>
          </w14:textFill>
        </w:rPr>
        <w:t>14.1.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材料、工程设备和工程的试验和检验</w:t>
      </w:r>
      <w:bookmarkEnd w:id="336"/>
      <w:bookmarkEnd w:id="337"/>
      <w:bookmarkEnd w:id="33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进行材料、工程设备和工程的试验和检验，并为监理人对上述材料、工程设备和工程的质量检查提供必要的试验资料和原始记录。按合同约定应由监理人与分包人共同进行试验和检验的，由分包人负责提供必要的试验资料和原始记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监理人未按合同约定派员参加试验和检验的，除监理人另有指示外，分包人可自行试验和检验，并应立即将试验和检验结果通过承包人报送监理人，监理人应签字确认。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监理人对分包人的试验和检验结果有疑问的，或为查清分包人试验和检验成果的可靠性要求经发包人同意后, 可要求分包人重新试验和检验。重新试验和检验的结果证明该项材料、工程设备或工程的质量不符合合同要求的，由此增加的费用和（或）工期延误由分包人承担；重新试验和检验结果证明该项材料、工程设备和工程符合合同要求，由发包人承担由此增加的费用和（或）工期延误。</w:t>
      </w:r>
    </w:p>
    <w:p>
      <w:pPr>
        <w:pStyle w:val="77"/>
        <w:ind w:firstLine="480"/>
        <w:rPr>
          <w:color w:val="000000" w:themeColor="text1"/>
          <w:highlight w:val="none"/>
          <w14:textFill>
            <w14:solidFill>
              <w14:schemeClr w14:val="tx1"/>
            </w14:solidFill>
          </w14:textFill>
        </w:rPr>
      </w:pPr>
      <w:bookmarkStart w:id="339" w:name="_Toc44492484"/>
      <w:bookmarkStart w:id="340" w:name="_Toc10712"/>
      <w:bookmarkStart w:id="341" w:name="_Toc28922"/>
      <w:r>
        <w:rPr>
          <w:rFonts w:hint="eastAsia"/>
          <w:color w:val="000000" w:themeColor="text1"/>
          <w:highlight w:val="none"/>
          <w14:textFill>
            <w14:solidFill>
              <w14:schemeClr w14:val="tx1"/>
            </w14:solidFill>
          </w14:textFill>
        </w:rPr>
        <w:t>14.2.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现场材料试验</w:t>
      </w:r>
      <w:bookmarkEnd w:id="339"/>
      <w:bookmarkEnd w:id="340"/>
      <w:bookmarkEnd w:id="34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分包人根据合同约定或监理人指示进行的现场材料试验，应由分包人提供试验场所、试验人员、试验设备器材以及其他必要的试验条件。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监理人在必要时可以使用分包人的试验场所、试验设备器材以及其他试验条件，进行以工程质量检查为目的的复核性材料试验，分包人应予以协助。</w:t>
      </w:r>
    </w:p>
    <w:p>
      <w:pPr>
        <w:pStyle w:val="77"/>
        <w:ind w:firstLine="480"/>
        <w:rPr>
          <w:color w:val="000000" w:themeColor="text1"/>
          <w:highlight w:val="none"/>
          <w14:textFill>
            <w14:solidFill>
              <w14:schemeClr w14:val="tx1"/>
            </w14:solidFill>
          </w14:textFill>
        </w:rPr>
      </w:pPr>
      <w:bookmarkStart w:id="342" w:name="_Toc22748"/>
      <w:bookmarkStart w:id="343" w:name="_Toc25649"/>
      <w:bookmarkStart w:id="344" w:name="_Toc44492485"/>
      <w:r>
        <w:rPr>
          <w:rFonts w:hint="eastAsia"/>
          <w:color w:val="000000" w:themeColor="text1"/>
          <w:highlight w:val="none"/>
          <w14:textFill>
            <w14:solidFill>
              <w14:schemeClr w14:val="tx1"/>
            </w14:solidFill>
          </w14:textFill>
        </w:rPr>
        <w:t>14.3.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现场工艺试验</w:t>
      </w:r>
      <w:bookmarkEnd w:id="342"/>
      <w:bookmarkEnd w:id="343"/>
      <w:bookmarkEnd w:id="34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分包人应按合同约定或监理人指示进行现场工艺试验。对大型的现场工艺试验，监理人认为必要时，应由分包人根据监理人提出的工艺试验要求，编制工艺试验措施计划，通过承包人报送监理人审批。</w:t>
      </w:r>
    </w:p>
    <w:p>
      <w:pPr>
        <w:pStyle w:val="77"/>
        <w:ind w:firstLine="480"/>
        <w:rPr>
          <w:color w:val="000000" w:themeColor="text1"/>
          <w:highlight w:val="none"/>
          <w14:textFill>
            <w14:solidFill>
              <w14:schemeClr w14:val="tx1"/>
            </w14:solidFill>
          </w14:textFill>
        </w:rPr>
      </w:pPr>
      <w:bookmarkStart w:id="345" w:name="_Toc9590"/>
      <w:bookmarkStart w:id="346" w:name="_Toc32490"/>
      <w:bookmarkStart w:id="347" w:name="_Toc44492486"/>
      <w:r>
        <w:rPr>
          <w:rFonts w:hint="eastAsia"/>
          <w:color w:val="000000" w:themeColor="text1"/>
          <w:highlight w:val="none"/>
          <w14:textFill>
            <w14:solidFill>
              <w14:schemeClr w14:val="tx1"/>
            </w14:solidFill>
          </w14:textFill>
        </w:rPr>
        <w:t>14.4.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发包人提供的材料和工程设备的试验和检验</w:t>
      </w:r>
      <w:bookmarkEnd w:id="345"/>
      <w:bookmarkEnd w:id="346"/>
      <w:bookmarkEnd w:id="34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提供的材料和工程设备到货后，发包人、监理人及分包人共同验收时，由发包人负责提供该材料和工程设备的合格证明及其他国家规范标准要求的必要产品质量证明文件及检验试验合格证明文件。分包人需对发包人提供的材料设备质量证明文件进行核查，以确保其满足工程规范和合同质量要求。若分包人对发包人所供材料和工程设备质量、安全及性能等提出质疑要求重新检验试验时，由发包人、监理人与分包人共同进行。重新试验和检验的结果证明该项材料和工程设备的质量、安全及性能不符合合同及规范标准要求的，由此增加的费用和延误的工期由发包人承担；重新试验和检验的结果证明该项材料设备的质量、安全及性能符合合同及规范标准要求的，由分包人承担由此增加的费用和延误的工期。</w:t>
      </w:r>
    </w:p>
    <w:p>
      <w:pPr>
        <w:pStyle w:val="73"/>
        <w:rPr>
          <w:color w:val="000000" w:themeColor="text1"/>
          <w:highlight w:val="none"/>
          <w14:textFill>
            <w14:solidFill>
              <w14:schemeClr w14:val="tx1"/>
            </w14:solidFill>
          </w14:textFill>
        </w:rPr>
      </w:pPr>
      <w:bookmarkStart w:id="348" w:name="_Toc91082307"/>
      <w:bookmarkStart w:id="349" w:name="_Toc47512245"/>
      <w:bookmarkStart w:id="350" w:name="_Toc6551"/>
      <w:bookmarkStart w:id="351" w:name="_Toc44227996"/>
      <w:bookmarkStart w:id="352" w:name="_Toc10020"/>
      <w:bookmarkStart w:id="353" w:name="_Toc44492487"/>
      <w:bookmarkStart w:id="354" w:name="_Toc407356008"/>
      <w:r>
        <w:rPr>
          <w:rFonts w:hint="eastAsia"/>
          <w:color w:val="000000" w:themeColor="text1"/>
          <w:highlight w:val="none"/>
          <w14:textFill>
            <w14:solidFill>
              <w14:schemeClr w14:val="tx1"/>
            </w14:solidFill>
          </w14:textFill>
        </w:rPr>
        <w:t>15.变更</w:t>
      </w:r>
      <w:bookmarkEnd w:id="348"/>
      <w:bookmarkEnd w:id="349"/>
      <w:bookmarkEnd w:id="350"/>
      <w:bookmarkEnd w:id="351"/>
      <w:bookmarkEnd w:id="352"/>
      <w:bookmarkEnd w:id="353"/>
      <w:bookmarkEnd w:id="354"/>
    </w:p>
    <w:p>
      <w:pPr>
        <w:pStyle w:val="77"/>
        <w:ind w:firstLine="480"/>
        <w:rPr>
          <w:color w:val="000000" w:themeColor="text1"/>
          <w:highlight w:val="none"/>
          <w14:textFill>
            <w14:solidFill>
              <w14:schemeClr w14:val="tx1"/>
            </w14:solidFill>
          </w14:textFill>
        </w:rPr>
      </w:pPr>
      <w:bookmarkStart w:id="355" w:name="_Toc1079"/>
      <w:bookmarkStart w:id="356" w:name="_Toc44492488"/>
      <w:bookmarkStart w:id="357" w:name="_Toc15187"/>
      <w:r>
        <w:rPr>
          <w:rFonts w:hint="eastAsia"/>
          <w:color w:val="000000" w:themeColor="text1"/>
          <w:highlight w:val="none"/>
          <w14:textFill>
            <w14:solidFill>
              <w14:schemeClr w14:val="tx1"/>
            </w14:solidFill>
          </w14:textFill>
        </w:rPr>
        <w:t>15.1.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变更程序</w:t>
      </w:r>
      <w:bookmarkEnd w:id="355"/>
      <w:bookmarkEnd w:id="356"/>
      <w:bookmarkEnd w:id="357"/>
    </w:p>
    <w:p>
      <w:pPr>
        <w:pStyle w:val="52"/>
        <w:ind w:firstLine="420"/>
        <w:rPr>
          <w:color w:val="000000" w:themeColor="text1"/>
          <w:highlight w:val="none"/>
          <w14:textFill>
            <w14:solidFill>
              <w14:schemeClr w14:val="tx1"/>
            </w14:solidFill>
          </w14:textFill>
        </w:rPr>
      </w:pPr>
      <w:bookmarkStart w:id="358" w:name="_Toc44492489"/>
      <w:r>
        <w:rPr>
          <w:rFonts w:hint="eastAsia"/>
          <w:color w:val="000000" w:themeColor="text1"/>
          <w:highlight w:val="none"/>
          <w14:textFill>
            <w14:solidFill>
              <w14:schemeClr w14:val="tx1"/>
            </w14:solidFill>
          </w14:textFill>
        </w:rPr>
        <w:t>15.1.1.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中发包人需对原工程进行变更时，应提前以书面形式通过承包人向分包人发出变更通知，并提供变更的相应图纸和（或）说明。分包人应当按照发包人发出的变更通知及有关要求实施变更。分包人不得以指示所涉及的费用未确定为由不执行或拖延执行。当通过承包人、分包人接到发包人的指示后三（3）天内，分包人仍未开始执行有关的工作（按工程实际情况不可能立即执行的除外），发包人可通过承包人雇用第三人代为执行，分包人应承担承包人雇佣第三人所造成的价差，同时需按专用条款的约定承担违约责任。承包人可从应支付或将会支付给分包人的款项中扣回或当作债务向分包人追讨。</w:t>
      </w:r>
      <w:bookmarkEnd w:id="35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15.1.2   分包人进场之前，发包人将通过承包人书面通知分包人签证流程、签证单格式，双方应遵照执行。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发包人有权通过承包人发出指令要求变更，分包人不得拒绝。除得到发包人书面指令外，分包人不能擅自做出变更。任何发包人要求的或发包人随后追认的变更皆不会使本合同失效。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如分包人超出合同文件的要求进行施工，则无论本工程是否通过了竣工验收，均不能认为发包人同意支付该等超出合同文件的要求进行施工的费用，由此增加的费用和延误的工期均由分包人承担。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采用或更改任何施工方案、施工工序、施工措施、施工工艺的，均不构成签证变更，由分包人承担由此增加的费用和延误的工期，即便发包人对前述方案、工序、措施和工艺进行了签证，也只是对技术的确认，发包人、承包人不因此而承担任何费用及工期延误的责任，</w:t>
      </w:r>
      <w:r>
        <w:rPr>
          <w:color w:val="000000" w:themeColor="text1"/>
          <w:highlight w:val="none"/>
          <w14:textFill>
            <w14:solidFill>
              <w14:schemeClr w14:val="tx1"/>
            </w14:solidFill>
          </w14:textFill>
        </w:rPr>
        <w:t>如果因此给发包人造成损失，分包人应当全额赔偿</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按照指示完成变更及办理经济签证不得影响工程的连续施工。除非合同另有约定，分包人不得以发包人和承包人或分包人之间未能就变更、签证工作的计价达成一致而拒绝实施变更工作。</w:t>
      </w:r>
    </w:p>
    <w:p>
      <w:pPr>
        <w:pStyle w:val="52"/>
        <w:ind w:firstLine="420"/>
        <w:rPr>
          <w:bCs/>
          <w:color w:val="000000" w:themeColor="text1"/>
          <w:highlight w:val="none"/>
          <w14:textFill>
            <w14:solidFill>
              <w14:schemeClr w14:val="tx1"/>
            </w14:solidFill>
          </w14:textFill>
        </w:rPr>
      </w:pPr>
      <w:bookmarkStart w:id="359" w:name="_Toc44492490"/>
      <w:r>
        <w:rPr>
          <w:rFonts w:hint="eastAsia"/>
          <w:color w:val="000000" w:themeColor="text1"/>
          <w:highlight w:val="none"/>
          <w14:textFill>
            <w14:solidFill>
              <w14:schemeClr w14:val="tx1"/>
            </w14:solidFill>
          </w14:textFill>
        </w:rPr>
        <w:t xml:space="preserve">15.1.7. </w:t>
      </w:r>
      <w:r>
        <w:rPr>
          <w:rFonts w:hint="eastAsia"/>
          <w:bCs/>
          <w:color w:val="000000" w:themeColor="text1"/>
          <w:highlight w:val="none"/>
          <w14:textFill>
            <w14:solidFill>
              <w14:schemeClr w14:val="tx1"/>
            </w14:solidFill>
          </w14:textFill>
        </w:rPr>
        <w:t>设计人提出的设计变更，必须经发包人批准后，并通过承包人通知分包人才能按图进行施工，如设计变更未经发包人批准分包人安排施工，所需费用由分包人承担，且发包人有权通过承包人提出拆除及恢复，分包人承担由此造成的费用；如设计变更未经发包人批准分包人安排施工，且设计变更不合理，其施工费用、恢复费用及由此造成的损失由分包人承担，同时分包人应按专用条款的约定承担违约责任。</w:t>
      </w:r>
      <w:bookmarkEnd w:id="359"/>
      <w:bookmarkStart w:id="360" w:name="_Toc44492491"/>
      <w:bookmarkStart w:id="361" w:name="_Toc15591"/>
      <w:bookmarkStart w:id="362" w:name="_Toc10741"/>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变更价款的确定</w:t>
      </w:r>
      <w:bookmarkEnd w:id="360"/>
      <w:bookmarkEnd w:id="361"/>
      <w:bookmarkEnd w:id="362"/>
    </w:p>
    <w:p>
      <w:pPr>
        <w:pStyle w:val="77"/>
        <w:ind w:firstLine="420"/>
        <w:rPr>
          <w:color w:val="000000" w:themeColor="text1"/>
          <w:highlight w:val="none"/>
          <w14:textFill>
            <w14:solidFill>
              <w14:schemeClr w14:val="tx1"/>
            </w14:solidFill>
          </w14:textFill>
        </w:rPr>
      </w:pPr>
      <w:bookmarkStart w:id="363" w:name="_Toc44492492"/>
      <w:r>
        <w:rPr>
          <w:rFonts w:hint="eastAsia" w:eastAsia="仿宋_GB2312"/>
          <w:bCs w:val="0"/>
          <w:color w:val="000000" w:themeColor="text1"/>
          <w:kern w:val="0"/>
          <w:sz w:val="21"/>
          <w:highlight w:val="none"/>
          <w14:textFill>
            <w14:solidFill>
              <w14:schemeClr w14:val="tx1"/>
            </w14:solidFill>
          </w14:textFill>
        </w:rPr>
        <w:t>变更价款</w:t>
      </w:r>
      <w:r>
        <w:rPr>
          <w:rFonts w:eastAsia="仿宋_GB2312"/>
          <w:bCs w:val="0"/>
          <w:color w:val="000000" w:themeColor="text1"/>
          <w:kern w:val="0"/>
          <w:sz w:val="21"/>
          <w:highlight w:val="none"/>
          <w14:textFill>
            <w14:solidFill>
              <w14:schemeClr w14:val="tx1"/>
            </w14:solidFill>
          </w14:textFill>
        </w:rPr>
        <w:t>的确定在专用条款中说明。</w:t>
      </w:r>
      <w:bookmarkEnd w:id="363"/>
    </w:p>
    <w:p>
      <w:pPr>
        <w:pStyle w:val="77"/>
        <w:ind w:firstLine="480"/>
        <w:rPr>
          <w:color w:val="000000" w:themeColor="text1"/>
          <w:highlight w:val="none"/>
          <w14:textFill>
            <w14:solidFill>
              <w14:schemeClr w14:val="tx1"/>
            </w14:solidFill>
          </w14:textFill>
        </w:rPr>
      </w:pPr>
      <w:bookmarkStart w:id="364" w:name="_Toc14333"/>
      <w:bookmarkStart w:id="365" w:name="_Toc28558"/>
      <w:bookmarkStart w:id="366" w:name="_Toc44492493"/>
      <w:r>
        <w:rPr>
          <w:rFonts w:hint="eastAsia"/>
          <w:color w:val="000000" w:themeColor="text1"/>
          <w:highlight w:val="none"/>
          <w14:textFill>
            <w14:solidFill>
              <w14:schemeClr w14:val="tx1"/>
            </w14:solidFill>
          </w14:textFill>
        </w:rPr>
        <w:t>15.3.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分包人的合理化建议</w:t>
      </w:r>
      <w:bookmarkEnd w:id="364"/>
      <w:bookmarkEnd w:id="365"/>
      <w:bookmarkEnd w:id="36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履行合同过程中，分包人通过承包人对发包人提供的图纸、技术要求以及其他方面提出的合理化建议，均应以书面形式通过承包人提交监理人。合理化建议书的内容应包括建议工作的详细说明、进度计划和效益以及与其他工作的协调等，并附必要的设计文件。监理人应与发包人协商是否采纳建议。建议被采纳并构成变更的，按照变更程序执行。</w:t>
      </w:r>
    </w:p>
    <w:p>
      <w:pPr>
        <w:pStyle w:val="52"/>
        <w:ind w:firstLine="420"/>
        <w:rPr>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15.3.2.</w:t>
      </w:r>
      <w:r>
        <w:rPr>
          <w:rFonts w:hint="eastAsia"/>
          <w:bCs/>
          <w:color w:val="000000" w:themeColor="text1"/>
          <w:highlight w:val="none"/>
          <w14:textFill>
            <w14:solidFill>
              <w14:schemeClr w14:val="tx1"/>
            </w14:solidFill>
          </w14:textFill>
        </w:rPr>
        <w:tab/>
      </w:r>
      <w:r>
        <w:rPr>
          <w:rFonts w:hint="eastAsia"/>
          <w:bCs/>
          <w:color w:val="000000" w:themeColor="text1"/>
          <w:highlight w:val="none"/>
          <w14:textFill>
            <w14:solidFill>
              <w14:schemeClr w14:val="tx1"/>
            </w14:solidFill>
          </w14:textFill>
        </w:rPr>
        <w:t>分包人在施工中提出的合理化建议涉及到对设计图纸或施工组织设计的更改及对材料、设备的换用，须</w:t>
      </w:r>
      <w:r>
        <w:rPr>
          <w:rFonts w:hint="eastAsia"/>
          <w:color w:val="000000" w:themeColor="text1"/>
          <w:highlight w:val="none"/>
          <w14:textFill>
            <w14:solidFill>
              <w14:schemeClr w14:val="tx1"/>
            </w14:solidFill>
          </w14:textFill>
        </w:rPr>
        <w:t>通过承包人</w:t>
      </w:r>
      <w:r>
        <w:rPr>
          <w:rFonts w:hint="eastAsia"/>
          <w:bCs/>
          <w:color w:val="000000" w:themeColor="text1"/>
          <w:highlight w:val="none"/>
          <w14:textFill>
            <w14:solidFill>
              <w14:schemeClr w14:val="tx1"/>
            </w14:solidFill>
          </w14:textFill>
        </w:rPr>
        <w:t>经发包人同意。未经同意擅自更改或换用时，分包人承担由此发生的费用，并赔偿发包人的有关损失，延误的工期不予顺延。</w:t>
      </w:r>
      <w:bookmarkStart w:id="367" w:name="_Toc407356009"/>
    </w:p>
    <w:p>
      <w:pPr>
        <w:pStyle w:val="73"/>
        <w:rPr>
          <w:color w:val="000000" w:themeColor="text1"/>
          <w:highlight w:val="none"/>
          <w14:textFill>
            <w14:solidFill>
              <w14:schemeClr w14:val="tx1"/>
            </w14:solidFill>
          </w14:textFill>
        </w:rPr>
      </w:pPr>
      <w:bookmarkStart w:id="368" w:name="_Toc47512246"/>
      <w:bookmarkStart w:id="369" w:name="_Toc16336"/>
      <w:bookmarkStart w:id="370" w:name="_Toc91082308"/>
      <w:bookmarkStart w:id="371" w:name="_Toc7205"/>
      <w:bookmarkStart w:id="372" w:name="_Toc44227997"/>
      <w:bookmarkStart w:id="373" w:name="_Toc44492494"/>
      <w:r>
        <w:rPr>
          <w:rFonts w:hint="eastAsia"/>
          <w:color w:val="000000" w:themeColor="text1"/>
          <w:highlight w:val="none"/>
          <w14:textFill>
            <w14:solidFill>
              <w14:schemeClr w14:val="tx1"/>
            </w14:solidFill>
          </w14:textFill>
        </w:rPr>
        <w:t>16.价格调整</w:t>
      </w:r>
      <w:bookmarkEnd w:id="367"/>
      <w:bookmarkEnd w:id="368"/>
      <w:bookmarkEnd w:id="369"/>
      <w:bookmarkEnd w:id="370"/>
      <w:bookmarkEnd w:id="371"/>
      <w:bookmarkEnd w:id="372"/>
      <w:bookmarkEnd w:id="373"/>
    </w:p>
    <w:p>
      <w:pPr>
        <w:pStyle w:val="77"/>
        <w:ind w:firstLine="480"/>
        <w:rPr>
          <w:rFonts w:ascii="仿宋_GB2312" w:eastAsia="仿宋_GB2312"/>
          <w:color w:val="000000" w:themeColor="text1"/>
          <w:sz w:val="21"/>
          <w:szCs w:val="21"/>
          <w:highlight w:val="none"/>
          <w14:textFill>
            <w14:solidFill>
              <w14:schemeClr w14:val="tx1"/>
            </w14:solidFill>
          </w14:textFill>
        </w:rPr>
      </w:pPr>
      <w:bookmarkStart w:id="374" w:name="_Toc30895"/>
      <w:bookmarkStart w:id="375" w:name="_Toc44492495"/>
      <w:bookmarkStart w:id="376" w:name="_Toc4996"/>
      <w:r>
        <w:rPr>
          <w:rFonts w:hint="eastAsia" w:eastAsia="仿宋_GB2312"/>
          <w:color w:val="000000" w:themeColor="text1"/>
          <w:kern w:val="0"/>
          <w:szCs w:val="24"/>
          <w:highlight w:val="none"/>
          <w14:textFill>
            <w14:solidFill>
              <w14:schemeClr w14:val="tx1"/>
            </w14:solidFill>
          </w14:textFill>
        </w:rPr>
        <w:t>16.1.</w:t>
      </w:r>
      <w:r>
        <w:rPr>
          <w:rFonts w:hint="eastAsia" w:ascii="仿宋_GB2312" w:eastAsia="仿宋_GB2312"/>
          <w:color w:val="000000" w:themeColor="text1"/>
          <w:szCs w:val="24"/>
          <w:highlight w:val="none"/>
          <w14:textFill>
            <w14:solidFill>
              <w14:schemeClr w14:val="tx1"/>
            </w14:solidFill>
          </w14:textFill>
        </w:rPr>
        <w:t xml:space="preserve"> </w:t>
      </w:r>
      <w:r>
        <w:rPr>
          <w:rFonts w:hint="eastAsia" w:ascii="仿宋_GB2312" w:eastAsia="仿宋_GB2312"/>
          <w:color w:val="000000" w:themeColor="text1"/>
          <w:sz w:val="21"/>
          <w:szCs w:val="21"/>
          <w:highlight w:val="none"/>
          <w14:textFill>
            <w14:solidFill>
              <w14:schemeClr w14:val="tx1"/>
            </w14:solidFill>
          </w14:textFill>
        </w:rPr>
        <w:t xml:space="preserve">  </w:t>
      </w:r>
      <w:r>
        <w:rPr>
          <w:rFonts w:hint="eastAsia" w:ascii="黑体"/>
          <w:color w:val="000000" w:themeColor="text1"/>
          <w:szCs w:val="24"/>
          <w:highlight w:val="none"/>
          <w14:textFill>
            <w14:solidFill>
              <w14:schemeClr w14:val="tx1"/>
            </w14:solidFill>
          </w14:textFill>
        </w:rPr>
        <w:t>物价波动引起的价格调整</w:t>
      </w:r>
      <w:bookmarkEnd w:id="374"/>
      <w:bookmarkEnd w:id="375"/>
      <w:bookmarkEnd w:id="376"/>
    </w:p>
    <w:p>
      <w:pPr>
        <w:pStyle w:val="52"/>
        <w:ind w:firstLine="420"/>
        <w:rPr>
          <w:rFonts w:ascii="仿宋_GB2312"/>
          <w:color w:val="000000" w:themeColor="text1"/>
          <w:szCs w:val="21"/>
          <w:highlight w:val="none"/>
          <w14:textFill>
            <w14:solidFill>
              <w14:schemeClr w14:val="tx1"/>
            </w14:solidFill>
          </w14:textFill>
        </w:rPr>
      </w:pPr>
      <w:r>
        <w:rPr>
          <w:rFonts w:hint="eastAsia" w:ascii="仿宋_GB2312"/>
          <w:color w:val="000000" w:themeColor="text1"/>
          <w:szCs w:val="21"/>
          <w:highlight w:val="none"/>
          <w14:textFill>
            <w14:solidFill>
              <w14:schemeClr w14:val="tx1"/>
            </w14:solidFill>
          </w14:textFill>
        </w:rPr>
        <w:t>物价波动引起的价格调整在专用条款中说明。</w:t>
      </w:r>
    </w:p>
    <w:p>
      <w:pPr>
        <w:pStyle w:val="77"/>
        <w:ind w:firstLine="480"/>
        <w:rPr>
          <w:rFonts w:ascii="仿宋_GB2312" w:eastAsia="仿宋_GB2312"/>
          <w:color w:val="000000" w:themeColor="text1"/>
          <w:sz w:val="21"/>
          <w:szCs w:val="21"/>
          <w:highlight w:val="none"/>
          <w14:textFill>
            <w14:solidFill>
              <w14:schemeClr w14:val="tx1"/>
            </w14:solidFill>
          </w14:textFill>
        </w:rPr>
      </w:pPr>
      <w:bookmarkStart w:id="377" w:name="_Toc44492496"/>
      <w:bookmarkStart w:id="378" w:name="_Toc27734"/>
      <w:bookmarkStart w:id="379" w:name="_Toc5134"/>
      <w:r>
        <w:rPr>
          <w:rFonts w:hint="eastAsia" w:eastAsia="仿宋_GB2312"/>
          <w:color w:val="000000" w:themeColor="text1"/>
          <w:kern w:val="0"/>
          <w:szCs w:val="24"/>
          <w:highlight w:val="none"/>
          <w14:textFill>
            <w14:solidFill>
              <w14:schemeClr w14:val="tx1"/>
            </w14:solidFill>
          </w14:textFill>
        </w:rPr>
        <w:t xml:space="preserve">16.2. </w:t>
      </w:r>
      <w:r>
        <w:rPr>
          <w:rFonts w:hint="eastAsia" w:ascii="仿宋_GB2312" w:eastAsia="仿宋_GB2312"/>
          <w:color w:val="000000" w:themeColor="text1"/>
          <w:sz w:val="21"/>
          <w:szCs w:val="21"/>
          <w:highlight w:val="none"/>
          <w14:textFill>
            <w14:solidFill>
              <w14:schemeClr w14:val="tx1"/>
            </w14:solidFill>
          </w14:textFill>
        </w:rPr>
        <w:t xml:space="preserve">  </w:t>
      </w:r>
      <w:r>
        <w:rPr>
          <w:rFonts w:hint="eastAsia" w:ascii="黑体"/>
          <w:color w:val="000000" w:themeColor="text1"/>
          <w:szCs w:val="24"/>
          <w:highlight w:val="none"/>
          <w14:textFill>
            <w14:solidFill>
              <w14:schemeClr w14:val="tx1"/>
            </w14:solidFill>
          </w14:textFill>
        </w:rPr>
        <w:t>价格不予调整的情形</w:t>
      </w:r>
      <w:bookmarkEnd w:id="377"/>
      <w:bookmarkEnd w:id="378"/>
      <w:bookmarkEnd w:id="379"/>
    </w:p>
    <w:p>
      <w:pPr>
        <w:pStyle w:val="52"/>
        <w:ind w:firstLine="420"/>
        <w:rPr>
          <w:rFonts w:ascii="仿宋_GB2312"/>
          <w:color w:val="000000" w:themeColor="text1"/>
          <w:szCs w:val="21"/>
          <w:highlight w:val="none"/>
          <w14:textFill>
            <w14:solidFill>
              <w14:schemeClr w14:val="tx1"/>
            </w14:solidFill>
          </w14:textFill>
        </w:rPr>
      </w:pPr>
      <w:r>
        <w:rPr>
          <w:rFonts w:hint="eastAsia" w:ascii="仿宋_GB2312"/>
          <w:color w:val="000000" w:themeColor="text1"/>
          <w:szCs w:val="21"/>
          <w:highlight w:val="none"/>
          <w14:textFill>
            <w14:solidFill>
              <w14:schemeClr w14:val="tx1"/>
            </w14:solidFill>
          </w14:textFill>
        </w:rPr>
        <w:t>价格不予调整的情形在专用条款中说明。</w:t>
      </w:r>
    </w:p>
    <w:p>
      <w:pPr>
        <w:pStyle w:val="77"/>
        <w:ind w:firstLine="480"/>
        <w:rPr>
          <w:rFonts w:ascii="仿宋_GB2312" w:eastAsia="仿宋_GB2312"/>
          <w:color w:val="000000" w:themeColor="text1"/>
          <w:sz w:val="21"/>
          <w:szCs w:val="21"/>
          <w:highlight w:val="none"/>
          <w14:textFill>
            <w14:solidFill>
              <w14:schemeClr w14:val="tx1"/>
            </w14:solidFill>
          </w14:textFill>
        </w:rPr>
      </w:pPr>
      <w:bookmarkStart w:id="380" w:name="_Toc9473"/>
      <w:bookmarkStart w:id="381" w:name="_Toc10220"/>
      <w:bookmarkStart w:id="382" w:name="_Toc44492497"/>
      <w:r>
        <w:rPr>
          <w:rFonts w:hint="eastAsia" w:eastAsia="仿宋_GB2312"/>
          <w:color w:val="000000" w:themeColor="text1"/>
          <w:kern w:val="0"/>
          <w:szCs w:val="24"/>
          <w:highlight w:val="none"/>
          <w14:textFill>
            <w14:solidFill>
              <w14:schemeClr w14:val="tx1"/>
            </w14:solidFill>
          </w14:textFill>
        </w:rPr>
        <w:t xml:space="preserve">16.3. </w:t>
      </w:r>
      <w:r>
        <w:rPr>
          <w:rFonts w:hint="eastAsia" w:ascii="仿宋_GB2312" w:eastAsia="仿宋_GB2312"/>
          <w:color w:val="000000" w:themeColor="text1"/>
          <w:sz w:val="21"/>
          <w:szCs w:val="21"/>
          <w:highlight w:val="none"/>
          <w14:textFill>
            <w14:solidFill>
              <w14:schemeClr w14:val="tx1"/>
            </w14:solidFill>
          </w14:textFill>
        </w:rPr>
        <w:t xml:space="preserve"> </w:t>
      </w:r>
      <w:r>
        <w:rPr>
          <w:rFonts w:hint="eastAsia" w:ascii="仿宋_GB2312" w:eastAsia="仿宋_GB2312"/>
          <w:b/>
          <w:color w:val="000000" w:themeColor="text1"/>
          <w:sz w:val="21"/>
          <w:szCs w:val="21"/>
          <w:highlight w:val="none"/>
          <w14:textFill>
            <w14:solidFill>
              <w14:schemeClr w14:val="tx1"/>
            </w14:solidFill>
          </w14:textFill>
        </w:rPr>
        <w:t xml:space="preserve"> </w:t>
      </w:r>
      <w:r>
        <w:rPr>
          <w:rFonts w:hint="eastAsia" w:ascii="黑体"/>
          <w:color w:val="000000" w:themeColor="text1"/>
          <w:szCs w:val="24"/>
          <w:highlight w:val="none"/>
          <w14:textFill>
            <w14:solidFill>
              <w14:schemeClr w14:val="tx1"/>
            </w14:solidFill>
          </w14:textFill>
        </w:rPr>
        <w:t>价格调整的补充说明</w:t>
      </w:r>
      <w:bookmarkEnd w:id="380"/>
      <w:bookmarkEnd w:id="381"/>
      <w:bookmarkEnd w:id="382"/>
    </w:p>
    <w:p>
      <w:pPr>
        <w:pStyle w:val="52"/>
        <w:ind w:firstLine="420"/>
        <w:rPr>
          <w:rFonts w:ascii="仿宋_GB2312"/>
          <w:color w:val="000000" w:themeColor="text1"/>
          <w:szCs w:val="21"/>
          <w:highlight w:val="none"/>
          <w14:textFill>
            <w14:solidFill>
              <w14:schemeClr w14:val="tx1"/>
            </w14:solidFill>
          </w14:textFill>
        </w:rPr>
      </w:pPr>
      <w:r>
        <w:rPr>
          <w:rFonts w:hint="eastAsia" w:ascii="仿宋_GB2312"/>
          <w:color w:val="000000" w:themeColor="text1"/>
          <w:szCs w:val="21"/>
          <w:highlight w:val="none"/>
          <w14:textFill>
            <w14:solidFill>
              <w14:schemeClr w14:val="tx1"/>
            </w14:solidFill>
          </w14:textFill>
        </w:rPr>
        <w:t>价格调整的补充说明在专用条款中说明。</w:t>
      </w:r>
    </w:p>
    <w:p>
      <w:pPr>
        <w:pStyle w:val="73"/>
        <w:rPr>
          <w:color w:val="000000" w:themeColor="text1"/>
          <w:highlight w:val="none"/>
          <w14:textFill>
            <w14:solidFill>
              <w14:schemeClr w14:val="tx1"/>
            </w14:solidFill>
          </w14:textFill>
        </w:rPr>
      </w:pPr>
      <w:bookmarkStart w:id="383" w:name="_Toc21140"/>
      <w:bookmarkStart w:id="384" w:name="_Toc47512247"/>
      <w:bookmarkStart w:id="385" w:name="_Toc44227998"/>
      <w:bookmarkStart w:id="386" w:name="_Toc44492498"/>
      <w:bookmarkStart w:id="387" w:name="_Toc407356010"/>
      <w:bookmarkStart w:id="388" w:name="_Toc29134"/>
      <w:bookmarkStart w:id="389" w:name="_Toc91082309"/>
      <w:r>
        <w:rPr>
          <w:rFonts w:hint="eastAsia"/>
          <w:color w:val="000000" w:themeColor="text1"/>
          <w:highlight w:val="none"/>
          <w14:textFill>
            <w14:solidFill>
              <w14:schemeClr w14:val="tx1"/>
            </w14:solidFill>
          </w14:textFill>
        </w:rPr>
        <w:t>17.计量与支付</w:t>
      </w:r>
      <w:bookmarkEnd w:id="383"/>
      <w:bookmarkEnd w:id="384"/>
      <w:bookmarkEnd w:id="385"/>
      <w:bookmarkEnd w:id="386"/>
      <w:bookmarkEnd w:id="387"/>
      <w:bookmarkEnd w:id="388"/>
      <w:bookmarkEnd w:id="389"/>
    </w:p>
    <w:p>
      <w:pPr>
        <w:pStyle w:val="77"/>
        <w:ind w:firstLine="480"/>
        <w:rPr>
          <w:color w:val="000000" w:themeColor="text1"/>
          <w:highlight w:val="none"/>
          <w14:textFill>
            <w14:solidFill>
              <w14:schemeClr w14:val="tx1"/>
            </w14:solidFill>
          </w14:textFill>
        </w:rPr>
      </w:pPr>
      <w:bookmarkStart w:id="390" w:name="_Toc27587"/>
      <w:bookmarkStart w:id="391" w:name="_Toc20973"/>
      <w:bookmarkStart w:id="392" w:name="_Toc44492499"/>
      <w:r>
        <w:rPr>
          <w:rFonts w:hint="eastAsia"/>
          <w:color w:val="000000" w:themeColor="text1"/>
          <w:highlight w:val="none"/>
          <w14:textFill>
            <w14:solidFill>
              <w14:schemeClr w14:val="tx1"/>
            </w14:solidFill>
          </w14:textFill>
        </w:rPr>
        <w:t>17.1.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计量</w:t>
      </w:r>
      <w:bookmarkEnd w:id="390"/>
      <w:bookmarkEnd w:id="391"/>
      <w:bookmarkEnd w:id="39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计量时间在专用条款中说明。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对分包人超出设计图纸范围和因分包人原因造成返工、质量不合格的工程量，承包人、发包人及监理人不予计量。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发包人、承包人对工程进度款的批准，不视为对分包人实际完成工程量的批准，只作为发包人、承包人进行工程目标管理和控制进度款支付的依据。</w:t>
      </w:r>
    </w:p>
    <w:p>
      <w:pPr>
        <w:pStyle w:val="77"/>
        <w:ind w:firstLine="480"/>
        <w:rPr>
          <w:color w:val="000000" w:themeColor="text1"/>
          <w:highlight w:val="none"/>
          <w14:textFill>
            <w14:solidFill>
              <w14:schemeClr w14:val="tx1"/>
            </w14:solidFill>
          </w14:textFill>
        </w:rPr>
      </w:pPr>
      <w:bookmarkStart w:id="393" w:name="_Toc7469"/>
      <w:bookmarkStart w:id="394" w:name="_Toc44492500"/>
      <w:bookmarkStart w:id="395" w:name="_Toc12523"/>
      <w:r>
        <w:rPr>
          <w:rFonts w:hint="eastAsia"/>
          <w:color w:val="000000" w:themeColor="text1"/>
          <w:highlight w:val="none"/>
          <w14:textFill>
            <w14:solidFill>
              <w14:schemeClr w14:val="tx1"/>
            </w14:solidFill>
          </w14:textFill>
        </w:rPr>
        <w:t>17.2.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工程价款</w:t>
      </w:r>
      <w:bookmarkEnd w:id="393"/>
      <w:bookmarkEnd w:id="394"/>
      <w:bookmarkEnd w:id="39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本合同采用固定综合单价包干方式执行: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本合同采用固定综合单价承包方式，合同总价为暂定总价。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已标价的工程量及单价清单中的综合单价为固定综合单价。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本合同工程量清单中的综合单价，应认为均已包含了所有的人工、材料、机械、设备及劳工、机械和设备的杂费，所有消耗费，专利费用，包装费，运费，保险费，设备调试费，装卸费，仓储费及其他临时在外的存储费用、运抵费、安装费、升降费及固定费，处理费，监管费，内外部管理费用，利润，加班费，与知识产权相关的费用及其他由分包人向政府缴纳的保证金，风险费，水电费，治安、消防、安全、环保、主管部门因进行工程所规定应由施工单位所交纳的任何收费，民扰及扰民费，试验费，以及其他为按时按质完成合同所规定工作并保证送电的所有除措施费及规费、税金以外的所有费用，不论图纸、规范、技术要求、工程量清单中有没有说明。除非合同另有其他明确约定外，该综合单价不做任何调整。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风险费用的计算方法在专用条款中写明。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措施项目清单所列项目综合单价及费率固定不变，在工程实施过程可能发生但在措施清单中未列出的措施费用视其已包含在措施项目清单所列项目中。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其他可调整合同价款的情况在专用条款中写明。</w:t>
      </w:r>
    </w:p>
    <w:p>
      <w:pPr>
        <w:pStyle w:val="77"/>
        <w:ind w:firstLine="480"/>
        <w:rPr>
          <w:color w:val="000000" w:themeColor="text1"/>
          <w:highlight w:val="none"/>
          <w14:textFill>
            <w14:solidFill>
              <w14:schemeClr w14:val="tx1"/>
            </w14:solidFill>
          </w14:textFill>
        </w:rPr>
      </w:pPr>
      <w:bookmarkStart w:id="396" w:name="_Toc31491"/>
      <w:bookmarkStart w:id="397" w:name="_Toc44492501"/>
      <w:bookmarkStart w:id="398" w:name="_Toc23241"/>
      <w:r>
        <w:rPr>
          <w:rFonts w:hint="eastAsia"/>
          <w:color w:val="000000" w:themeColor="text1"/>
          <w:highlight w:val="none"/>
          <w14:textFill>
            <w14:solidFill>
              <w14:schemeClr w14:val="tx1"/>
            </w14:solidFill>
          </w14:textFill>
        </w:rPr>
        <w:t>17.3.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总承包服务费</w:t>
      </w:r>
      <w:bookmarkEnd w:id="396"/>
      <w:bookmarkEnd w:id="397"/>
      <w:bookmarkEnd w:id="39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总承包服务费对应的总包服务、管理、配合工作内容详见附件《总承包管理与配合服务管理办法》。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与《总承包管理与配合服务管理办法</w:t>
      </w:r>
      <w:r>
        <w:rPr>
          <w:color w:val="000000" w:themeColor="text1"/>
          <w:highlight w:val="none"/>
          <w14:textFill>
            <w14:solidFill>
              <w14:schemeClr w14:val="tx1"/>
            </w14:solidFill>
          </w14:textFill>
        </w:rPr>
        <w:t>》相对应的总承包服务费由发包人统一向承包人支付</w:t>
      </w:r>
      <w:r>
        <w:rPr>
          <w:rFonts w:hint="eastAsia"/>
          <w:color w:val="000000" w:themeColor="text1"/>
          <w:highlight w:val="none"/>
          <w14:textFill>
            <w14:solidFill>
              <w14:schemeClr w14:val="tx1"/>
            </w14:solidFill>
          </w14:textFill>
        </w:rPr>
        <w:t>，分包人无需再向承包人支付</w:t>
      </w:r>
      <w:r>
        <w:rPr>
          <w:color w:val="000000" w:themeColor="text1"/>
          <w:highlight w:val="none"/>
          <w14:textFill>
            <w14:solidFill>
              <w14:schemeClr w14:val="tx1"/>
            </w14:solidFill>
          </w14:textFill>
        </w:rPr>
        <w:t>总承包服务费。</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17.3.3. </w:t>
      </w:r>
      <w:r>
        <w:rPr>
          <w:rFonts w:hint="eastAsia"/>
          <w:color w:val="000000" w:themeColor="text1"/>
          <w:highlight w:val="none"/>
          <w14:textFill>
            <w14:solidFill>
              <w14:schemeClr w14:val="tx1"/>
            </w14:solidFill>
          </w14:textFill>
        </w:rPr>
        <w:t>其他</w:t>
      </w:r>
      <w:r>
        <w:rPr>
          <w:color w:val="000000" w:themeColor="text1"/>
          <w:highlight w:val="none"/>
          <w14:textFill>
            <w14:solidFill>
              <w14:schemeClr w14:val="tx1"/>
            </w14:solidFill>
          </w14:textFill>
        </w:rPr>
        <w:t>约定在专用条款中写明</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399" w:name="_Toc23406"/>
      <w:bookmarkStart w:id="400" w:name="_Toc12002"/>
      <w:bookmarkStart w:id="401" w:name="_Toc44492502"/>
      <w:r>
        <w:rPr>
          <w:rFonts w:hint="eastAsia"/>
          <w:color w:val="000000" w:themeColor="text1"/>
          <w:highlight w:val="none"/>
          <w14:textFill>
            <w14:solidFill>
              <w14:schemeClr w14:val="tx1"/>
            </w14:solidFill>
          </w14:textFill>
        </w:rPr>
        <w:t>17.4.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预付款</w:t>
      </w:r>
      <w:bookmarkEnd w:id="399"/>
      <w:bookmarkEnd w:id="400"/>
      <w:bookmarkEnd w:id="40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预付款用于分包人为合同工程施工购置材料、工程设备、施工设备、修建临时设施以及组织施工队伍进场并支付劳务费用等。预付款的额度和预付办法在专用条款中约定。预付款必须专用于合同工程。</w:t>
      </w:r>
    </w:p>
    <w:p>
      <w:pPr>
        <w:pStyle w:val="77"/>
        <w:ind w:firstLine="480"/>
        <w:rPr>
          <w:color w:val="000000" w:themeColor="text1"/>
          <w:highlight w:val="none"/>
          <w14:textFill>
            <w14:solidFill>
              <w14:schemeClr w14:val="tx1"/>
            </w14:solidFill>
          </w14:textFill>
        </w:rPr>
      </w:pPr>
      <w:bookmarkStart w:id="402" w:name="_Toc25174"/>
      <w:bookmarkStart w:id="403" w:name="_Toc17512"/>
      <w:bookmarkStart w:id="404" w:name="_Toc44492503"/>
      <w:r>
        <w:rPr>
          <w:rFonts w:hint="eastAsia"/>
          <w:color w:val="000000" w:themeColor="text1"/>
          <w:highlight w:val="none"/>
          <w14:textFill>
            <w14:solidFill>
              <w14:schemeClr w14:val="tx1"/>
            </w14:solidFill>
          </w14:textFill>
        </w:rPr>
        <w:t>17.5.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工程进度付款</w:t>
      </w:r>
      <w:bookmarkEnd w:id="402"/>
      <w:bookmarkEnd w:id="403"/>
      <w:bookmarkEnd w:id="40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在确认计量结果和价款后，发包人通过承包人向分包人支付工程进度款。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工程进度款的支付时间额度和要求在专用条款中说明。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如因发包人原因导致承包人支付进度款逾期的，则随后的28天视为宽限期。在宽限期内，分包人不得行使任何追讨的权利，且承包人无需向分包人承担逾期付款的违约责任。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因发包人原因未能在宽限期结束前支付承包人分包工程进度款，分包人在宽限期结束后可通过承包人向发包人发出要求付款的通知，发包人收到通知后仍不能按要求付款，承包人可与分包人协商签订延期付款协议，经分包人同意后可延期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进度款与质量、安全挂钩，若申报工作的质量、安全达不到验收规范要求，发包人、承包人有权暂缓支付该部分工程款，直至合格为止。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双方确认，分包人在每月申请进度款时，均应按照政府主管部门备案要求向承包人、发包人提供当月已完工程的全部施工验收资料（包括但不限于进场材料检验、检验批验收、分部和分项验收、单位工程验收、隐蔽工程验收等），否则，发包人、承包人有权拒绝支付进度款，分包人不得据此延迟工期，由此产生的损失由分包人自行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发包人或承包人有权在付款中扣除如下任何款项：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如果分包人提供的任何材料、工程设备或完成的工作不符合合同要求，在完成修正和更换前，扣除该修正和更换所需费用；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如果分包人未能按照合同要求履行任何工作或义务，在该项工作或义务完成前，扣除该工作或义务的价值；</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分包人按照本合同约定应承担的任何违约责任或发包人可扣留的任何款项。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 施工期内为付款而对工程量的核实，纯粹作为付款用。不能视为工程已验收合格的依据，亦不得视为对结算工程量的最终确认。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发票的要求在专用条款里写明。</w:t>
      </w:r>
    </w:p>
    <w:p>
      <w:pPr>
        <w:pStyle w:val="77"/>
        <w:ind w:firstLine="480"/>
        <w:rPr>
          <w:color w:val="000000" w:themeColor="text1"/>
          <w:highlight w:val="none"/>
          <w14:textFill>
            <w14:solidFill>
              <w14:schemeClr w14:val="tx1"/>
            </w14:solidFill>
          </w14:textFill>
        </w:rPr>
      </w:pPr>
      <w:bookmarkStart w:id="405" w:name="_Toc44492504"/>
      <w:bookmarkStart w:id="406" w:name="_Toc31125"/>
      <w:bookmarkStart w:id="407" w:name="_Toc21331"/>
      <w:r>
        <w:rPr>
          <w:rFonts w:hint="eastAsia"/>
          <w:color w:val="000000" w:themeColor="text1"/>
          <w:highlight w:val="none"/>
          <w14:textFill>
            <w14:solidFill>
              <w14:schemeClr w14:val="tx1"/>
            </w14:solidFill>
          </w14:textFill>
        </w:rPr>
        <w:t>17.6.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质量</w:t>
      </w:r>
      <w:bookmarkEnd w:id="405"/>
      <w:bookmarkEnd w:id="406"/>
      <w:bookmarkEnd w:id="407"/>
      <w:r>
        <w:rPr>
          <w:rFonts w:hint="eastAsia"/>
          <w:color w:val="000000" w:themeColor="text1"/>
          <w:highlight w:val="none"/>
          <w14:textFill>
            <w14:solidFill>
              <w14:schemeClr w14:val="tx1"/>
            </w14:solidFill>
          </w14:textFill>
        </w:rPr>
        <w:t>担保</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质量保证金的担保额度按专用条款约定。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质量保证金的返还在专用条款约定。在缺陷责任期满时，分包人没有完成保修责任的，发包人、承包人有权要求延长缺陷责任期，直至完成缺陷修复工作为止。 </w:t>
      </w:r>
    </w:p>
    <w:p>
      <w:pPr>
        <w:pStyle w:val="77"/>
        <w:ind w:firstLine="480"/>
        <w:rPr>
          <w:color w:val="000000" w:themeColor="text1"/>
          <w:highlight w:val="none"/>
          <w14:textFill>
            <w14:solidFill>
              <w14:schemeClr w14:val="tx1"/>
            </w14:solidFill>
          </w14:textFill>
        </w:rPr>
      </w:pPr>
      <w:bookmarkStart w:id="408" w:name="_Toc14150"/>
      <w:bookmarkStart w:id="409" w:name="_Toc44492505"/>
      <w:bookmarkStart w:id="410" w:name="_Toc25400"/>
      <w:r>
        <w:rPr>
          <w:rFonts w:hint="eastAsia"/>
          <w:color w:val="000000" w:themeColor="text1"/>
          <w:highlight w:val="none"/>
          <w14:textFill>
            <w14:solidFill>
              <w14:schemeClr w14:val="tx1"/>
            </w14:solidFill>
          </w14:textFill>
        </w:rPr>
        <w:t>17.7.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竣工结算</w:t>
      </w:r>
      <w:bookmarkEnd w:id="408"/>
      <w:bookmarkEnd w:id="409"/>
      <w:bookmarkEnd w:id="41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竣工验收合格后28天内，经承包人审核确认后，分包人向发包人递交结算书及相关文件。若发包人要求分包人提交其他数据，分包人需加以配合提供。结算书及相关资料内容在专用条款中明确。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发包人在收到分包人提交的结算书及一切所需相关资料后，按专用条款约定的结算期限，进行工程竣工结算。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分包人提交的结算书必须是完整的，发包人在结算审价过程中，分包人无权利提出任何补充结算资料（图纸、签证变更单、价格凭证等）的要求，结算书中若有结算遗漏项目的均由分包人自行承担。</w:t>
      </w:r>
    </w:p>
    <w:p>
      <w:pPr>
        <w:pStyle w:val="52"/>
        <w:tabs>
          <w:tab w:val="left" w:pos="5250"/>
        </w:tabs>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17.7.4.分包人提交的结算书应包括分包人认为其有权获得的全部工程价款、赔偿、补偿及其他任何金额。任何未在竣工结算报告中载明的项目，视为发包人无须支付，及分包人放弃了要求发包人支付的权利（如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收到通过承包人提交的分包人结算书后，除非发包人以书面形式表示认可或接受，否则发包人的任何作为与不作为（包括要求分包人补充资料、不同意的表示、质疑、要求协商的会议、要求签订与分包人提出的报告不一致的协议或备忘录等）均视为对分包人结算书的不认可。</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结算书经发包人内部审计并与承包人、分包人三方确认后的价款被认为是本工程的全部工程总价，本合同任何需要调整工程总价的因素均已获考虑，不得做任何调整。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对工程结算的其他约定在专用条款中写明。</w:t>
      </w:r>
    </w:p>
    <w:p>
      <w:pPr>
        <w:pStyle w:val="73"/>
        <w:rPr>
          <w:color w:val="000000" w:themeColor="text1"/>
          <w:highlight w:val="none"/>
          <w14:textFill>
            <w14:solidFill>
              <w14:schemeClr w14:val="tx1"/>
            </w14:solidFill>
          </w14:textFill>
        </w:rPr>
      </w:pPr>
      <w:bookmarkStart w:id="411" w:name="_Toc27445"/>
      <w:bookmarkStart w:id="412" w:name="_Toc44492506"/>
      <w:bookmarkStart w:id="413" w:name="_Toc44227999"/>
      <w:bookmarkStart w:id="414" w:name="_Toc407356011"/>
      <w:bookmarkStart w:id="415" w:name="_Toc47512248"/>
      <w:bookmarkStart w:id="416" w:name="_Toc20645"/>
      <w:bookmarkStart w:id="417" w:name="_Toc91082310"/>
      <w:r>
        <w:rPr>
          <w:rFonts w:hint="eastAsia"/>
          <w:color w:val="000000" w:themeColor="text1"/>
          <w:highlight w:val="none"/>
          <w14:textFill>
            <w14:solidFill>
              <w14:schemeClr w14:val="tx1"/>
            </w14:solidFill>
          </w14:textFill>
        </w:rPr>
        <w:t>18.竣工验收</w:t>
      </w:r>
      <w:bookmarkEnd w:id="411"/>
      <w:bookmarkEnd w:id="412"/>
      <w:bookmarkEnd w:id="413"/>
      <w:bookmarkEnd w:id="414"/>
      <w:bookmarkEnd w:id="415"/>
      <w:bookmarkEnd w:id="416"/>
      <w:bookmarkEnd w:id="417"/>
    </w:p>
    <w:p>
      <w:pPr>
        <w:pStyle w:val="77"/>
        <w:ind w:firstLine="480"/>
        <w:rPr>
          <w:color w:val="000000" w:themeColor="text1"/>
          <w:highlight w:val="none"/>
          <w14:textFill>
            <w14:solidFill>
              <w14:schemeClr w14:val="tx1"/>
            </w14:solidFill>
          </w14:textFill>
        </w:rPr>
      </w:pPr>
      <w:bookmarkStart w:id="418" w:name="_Toc2720"/>
      <w:bookmarkStart w:id="419" w:name="_Toc14925"/>
      <w:bookmarkStart w:id="420" w:name="_Toc44492507"/>
      <w:r>
        <w:rPr>
          <w:rFonts w:hint="eastAsia"/>
          <w:color w:val="000000" w:themeColor="text1"/>
          <w:highlight w:val="none"/>
          <w14:textFill>
            <w14:solidFill>
              <w14:schemeClr w14:val="tx1"/>
            </w14:solidFill>
          </w14:textFill>
        </w:rPr>
        <w:t>18.1.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竣工验收的含义</w:t>
      </w:r>
      <w:bookmarkEnd w:id="418"/>
      <w:bookmarkEnd w:id="419"/>
      <w:bookmarkEnd w:id="42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竣工验收指分包人完成了全部合同工作后，发包人、承包人按要求进行的验收。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竣工验收所采用的各项验收和评定标准应符合国家验收标准。发包人和承包人、分包人为工程验收提供的各项工程验收资料应符合国家验收的要求。 </w:t>
      </w:r>
    </w:p>
    <w:p>
      <w:pPr>
        <w:pStyle w:val="77"/>
        <w:ind w:firstLine="480"/>
        <w:rPr>
          <w:color w:val="000000" w:themeColor="text1"/>
          <w:highlight w:val="none"/>
          <w14:textFill>
            <w14:solidFill>
              <w14:schemeClr w14:val="tx1"/>
            </w14:solidFill>
          </w14:textFill>
        </w:rPr>
      </w:pPr>
      <w:bookmarkStart w:id="421" w:name="_Toc13959"/>
      <w:bookmarkStart w:id="422" w:name="_Toc44492508"/>
      <w:bookmarkStart w:id="423" w:name="_Toc20054"/>
      <w:r>
        <w:rPr>
          <w:rFonts w:hint="eastAsia"/>
          <w:color w:val="000000" w:themeColor="text1"/>
          <w:highlight w:val="none"/>
          <w14:textFill>
            <w14:solidFill>
              <w14:schemeClr w14:val="tx1"/>
            </w14:solidFill>
          </w14:textFill>
        </w:rPr>
        <w:t>18.2.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竣工验收申请</w:t>
      </w:r>
      <w:bookmarkEnd w:id="421"/>
      <w:bookmarkEnd w:id="422"/>
      <w:bookmarkEnd w:id="42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当工程具备以下条件时，分包人通过承包人即可向监理人报送竣工验收申请：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除监理人同意列入缺陷责任期内完成的尾工（甩项）工程和缺陷修补工作外，合同范围内的全部单位工程以及有关工作，包括合同要求的试验、试运行以及检验和验收均已完成，并符合合同要求；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已按合同约定的内容和份数备齐了符合要求的工程资料；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已按监理人的要求编制了在缺陷责任期内完成的尾工（甩项）工程和缺陷修补工作清单以及相应施工计划；</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已完成监理人要求在竣工验收前应完成的其他工作；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已备妥监理人要求提交的竣工验收资料清单中的全部资料。</w:t>
      </w:r>
    </w:p>
    <w:p>
      <w:pPr>
        <w:pStyle w:val="77"/>
        <w:ind w:firstLine="480"/>
        <w:rPr>
          <w:color w:val="000000" w:themeColor="text1"/>
          <w:highlight w:val="none"/>
          <w14:textFill>
            <w14:solidFill>
              <w14:schemeClr w14:val="tx1"/>
            </w14:solidFill>
          </w14:textFill>
        </w:rPr>
      </w:pPr>
      <w:bookmarkStart w:id="424" w:name="_Toc18116"/>
      <w:bookmarkStart w:id="425" w:name="_Toc1265"/>
      <w:bookmarkStart w:id="426" w:name="_Toc44492509"/>
      <w:r>
        <w:rPr>
          <w:rFonts w:hint="eastAsia"/>
          <w:color w:val="000000" w:themeColor="text1"/>
          <w:highlight w:val="none"/>
          <w14:textFill>
            <w14:solidFill>
              <w14:schemeClr w14:val="tx1"/>
            </w14:solidFill>
          </w14:textFill>
        </w:rPr>
        <w:t>18.3.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验收</w:t>
      </w:r>
      <w:bookmarkEnd w:id="424"/>
      <w:bookmarkEnd w:id="425"/>
      <w:bookmarkEnd w:id="42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监理人收到分包人提交的竣工验收申请报告后，应审查申请报告的各项内容，并按以下不同情况进行处理。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审查后认为尚不具备工程验收条件的，应在收到竣工验收申请报告后的28天内通过承包人通知分包人，指出在竣工验收前分包人还需进行的工作内容。分包人完成监理人通知的全部工作内容后，应再次通过承包人提交竣工验收申请报告，直至监理人同意为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监理人审查后认为已具备竣工验收条件的，应在收到承包人最后一次提交的竣工验收申请报告后的28天内提请发包人进行工程验收。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经过验收后同意接受工程的，发包人、监理人、承包人、分包人共同书面确认竣工验收通过。发包人验收后同意接收工程但提出整修和完善要求的，承包人、分包人进行整修和完善，整修和完善工作完成后，监理人复查达到要求的，经发包人同意后，发包人、监理人、承包人、分包人书面确认竣工验收通过。发包人、监理人、承包人、分包人四方书面确认竣工验收通过之日为竣工验收合格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验收后不同意接收工程的，监理人应按照发包人的验收意见发出指示，通过承包人要求分包人对不合格工程认真返工重作或进行补救处理，并承担由此产生的费用。分包人在完成不合格工程的返工重作或补救工作后，应重新通过承包人提交竣工验收申请报告。</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因分包人工期拖延，造成工程无法按合同约定的整体竣工验收合格日期通过竣工验收的，为了避免损失的扩大，分包人无条件同意发包人提前使用未经竣工验收的工程或有权让业主、用户入住、使用或按政府要求交付给业主或客户入住、使用工程，上述情况不视为分包人所承包本合同项下的工程已竣工或验收合格或已交付，分包人仍应当承担工期逾期或质量违约赔偿责任（包括但不限于因分包人上述违约行为而导致发包人逾期交房或政府罚款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根据合同文件应当承担的质量保证责任不因为本工程验收合格而免除，本工程通过竣工验收在任何意义上都不意味着发包人、承包人放弃了追究分包人工程质量不合格的违约责任的权利。发包人、承包人进一步确认，若分包人未按合同文件要求的标准完成施工，无论本工程是否通过竣工验收，发包人、承包人均有权随时要求分包人对不符合合同约定的部分予以修理、补救或更换，直至达到符合合同约定为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当随同工程的移交，将与本工程相关的所有技术资料、保修资料、操作指南、质量合格证明、培训手册、程序、密码、数据等一并移交，并负责训练发包人的有关员工对于本工程的操作、维修及紧急程序等，否则发包人有权拒绝向承包人支付任何分包工程款项而发包人、承包人不承担任何延期付款的责任。本合同因任何原因提前终止或解除时，分包人亦需遵守本条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分包人负责整理和提交的竣工验收资料应当符合工程所在地建设行政主管部门和（或）城市建设档案管理机构有关施工资料的要求。竣工验收资料要求在专用条款中说明。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18.3.8.</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除非合同中另有约定，所有本合同工程的竣工资料（含竣工图纸）的准备、编制、整理和装订的费用均由分包人承担，该等费用已经包含在分包人的合同签约合同价格中，承包人不再为此另行支付。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符合竣工备案要求的全套竣工资料是工程竣工验收和结算的前提条件。竣工备案日期为取得当地城市建设档案管理机构竣工备案回执之日。如果分包人提供的竣工资料不能完全反映项目现场工程情况，则发包人有权要求承包人、分包人修改，分包人应在发包人规定时间内完成修改使之满足承包人、发包人和当地城市建设档案管理机构的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18.3.10.</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若分包人不遵照发包人或监理人的指示移交工程，则自发包人或监理人通过承包人发出催告通知之日起，分包人应当按照合同条款约定承担相当于逾期竣工违约责任，直至分包人按照发包人或监理人或承包人的要求完成工程移交为止。</w:t>
      </w:r>
    </w:p>
    <w:p>
      <w:pPr>
        <w:pStyle w:val="77"/>
        <w:ind w:firstLine="480"/>
        <w:rPr>
          <w:color w:val="000000" w:themeColor="text1"/>
          <w:highlight w:val="none"/>
          <w14:textFill>
            <w14:solidFill>
              <w14:schemeClr w14:val="tx1"/>
            </w14:solidFill>
          </w14:textFill>
        </w:rPr>
      </w:pPr>
      <w:bookmarkStart w:id="427" w:name="_Toc44492510"/>
      <w:bookmarkStart w:id="428" w:name="_Toc764"/>
      <w:bookmarkStart w:id="429" w:name="_Toc6102"/>
      <w:r>
        <w:rPr>
          <w:rFonts w:hint="eastAsia"/>
          <w:color w:val="000000" w:themeColor="text1"/>
          <w:highlight w:val="none"/>
          <w14:textFill>
            <w14:solidFill>
              <w14:schemeClr w14:val="tx1"/>
            </w14:solidFill>
          </w14:textFill>
        </w:rPr>
        <w:t>18.4.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施工期运行</w:t>
      </w:r>
      <w:bookmarkEnd w:id="427"/>
      <w:bookmarkEnd w:id="428"/>
      <w:bookmarkEnd w:id="42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施工期运行是指合同工程尚未全部竣工，其中某项或某几项单位工程或工程设备安装已竣工，根据专用条款约定，需要投入施工期运行的，经发包人验收合格，证明能确保安全后，才能在施工期投入运行。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18.4.2.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在施工期运行中发现工程或工程设备损坏或存在缺陷的，由分包人进行修复。</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18.4.3.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若合同文件说明部分工程包含调试，则分包人须负责按合同文件规定对该部分工程进行调试，并依法安排当地政府有关部门对整体安装的现状调试直至验收合格并发予运行/转准字或批文，有关费用已包括在分包人的合同签约合同价格内。</w:t>
      </w:r>
    </w:p>
    <w:p>
      <w:pPr>
        <w:pStyle w:val="77"/>
        <w:ind w:firstLine="480"/>
        <w:rPr>
          <w:color w:val="000000" w:themeColor="text1"/>
          <w:highlight w:val="none"/>
          <w14:textFill>
            <w14:solidFill>
              <w14:schemeClr w14:val="tx1"/>
            </w14:solidFill>
          </w14:textFill>
        </w:rPr>
      </w:pPr>
      <w:bookmarkStart w:id="430" w:name="_Toc44492511"/>
      <w:bookmarkStart w:id="431" w:name="_Toc18231"/>
      <w:bookmarkStart w:id="432" w:name="_Toc21626"/>
      <w:r>
        <w:rPr>
          <w:rFonts w:hint="eastAsia"/>
          <w:color w:val="000000" w:themeColor="text1"/>
          <w:highlight w:val="none"/>
          <w14:textFill>
            <w14:solidFill>
              <w14:schemeClr w14:val="tx1"/>
            </w14:solidFill>
          </w14:textFill>
        </w:rPr>
        <w:t>18.5.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试运行</w:t>
      </w:r>
      <w:bookmarkEnd w:id="430"/>
      <w:bookmarkEnd w:id="431"/>
      <w:bookmarkEnd w:id="43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分包人按专用条款约定进行工程及工程设备试运行，负责提供试运行所需的人员、器材和必要的条件，并承担全部试运行费用。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由于分包人的原因导致试运行失败的，分包人应采取措施保证试运行合格，并承担相应费用。由于发包人或承包人的原因导致试运行失败的，分包人应当采取措施保证试运行合格，发包人或承包人应承担由此产生的费用。</w:t>
      </w:r>
    </w:p>
    <w:p>
      <w:pPr>
        <w:pStyle w:val="77"/>
        <w:ind w:firstLine="480"/>
        <w:rPr>
          <w:color w:val="000000" w:themeColor="text1"/>
          <w:highlight w:val="none"/>
          <w14:textFill>
            <w14:solidFill>
              <w14:schemeClr w14:val="tx1"/>
            </w14:solidFill>
          </w14:textFill>
        </w:rPr>
      </w:pPr>
      <w:bookmarkStart w:id="433" w:name="_Toc44492512"/>
      <w:bookmarkStart w:id="434" w:name="_Toc7253"/>
      <w:bookmarkStart w:id="435" w:name="_Toc9921"/>
      <w:r>
        <w:rPr>
          <w:rFonts w:hint="eastAsia"/>
          <w:color w:val="000000" w:themeColor="text1"/>
          <w:highlight w:val="none"/>
          <w14:textFill>
            <w14:solidFill>
              <w14:schemeClr w14:val="tx1"/>
            </w14:solidFill>
          </w14:textFill>
        </w:rPr>
        <w:t>18.6.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竣工清场</w:t>
      </w:r>
      <w:bookmarkEnd w:id="433"/>
      <w:bookmarkEnd w:id="434"/>
      <w:bookmarkEnd w:id="43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18.6.1.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工程竣工验收通过后，分包人应按以下要求对施工场地进行清理，直至监理人检验合格为止。竣工清场费用由分包人承担。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施工场地内残留的垃圾已全部清除出场；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临时工程已拆除，场地已按合同要求进行清理、平整或复原；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按合同约定应撤离的分包人设备和剩余的材料，包括废弃的施工设备和材料，已按计划撤离施工场地；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工程建筑物周边及其附近道路、河道的施工堆积物，已按监理人指示全部清理；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监理人指示的其他的场地清理工作已全部完成。</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除专用合同条款另有约定外，分包人应予工程竣工验收通过后10天内完成上述清理工作。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18.6.2.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未按监理人的要求恢复临时占地，或者场地清理未达到合同约定的，承包人有权委托其他人恢复或清理，所发生的费用从应支付给分包人的款项中扣除。分包人未搬离而遗留在施工场地或其周围的物品，包括但不限于设备、器械、工具、材料等，均视为分包人已将其丢弃、放弃，发包人有权自行或委托第三人予以处置，无须承担任何责任，所发生的费用从应支付给分包人的款项中扣除。第18.7条情形亦同。</w:t>
      </w:r>
    </w:p>
    <w:p>
      <w:pPr>
        <w:pStyle w:val="77"/>
        <w:ind w:firstLine="480"/>
        <w:rPr>
          <w:color w:val="000000" w:themeColor="text1"/>
          <w:highlight w:val="none"/>
          <w14:textFill>
            <w14:solidFill>
              <w14:schemeClr w14:val="tx1"/>
            </w14:solidFill>
          </w14:textFill>
        </w:rPr>
      </w:pPr>
      <w:bookmarkStart w:id="436" w:name="_Toc24812"/>
      <w:bookmarkStart w:id="437" w:name="_Toc44492513"/>
      <w:bookmarkStart w:id="438" w:name="_Toc4119"/>
      <w:r>
        <w:rPr>
          <w:rFonts w:hint="eastAsia"/>
          <w:color w:val="000000" w:themeColor="text1"/>
          <w:highlight w:val="none"/>
          <w14:textFill>
            <w14:solidFill>
              <w14:schemeClr w14:val="tx1"/>
            </w14:solidFill>
          </w14:textFill>
        </w:rPr>
        <w:t>18.7.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施工队伍的撤离</w:t>
      </w:r>
      <w:bookmarkEnd w:id="436"/>
      <w:bookmarkEnd w:id="437"/>
      <w:bookmarkEnd w:id="43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18.7.1.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整体工程竣工验收通过后，除需进行工程整改或经监理人同意在缺陷责任期内继续工作和使用的人员、施工设备和临时工程外，其余的人员、施工设备和临时工程均应撤离施工场地或拆除。除专用合同条款另有约定外，分包人应予工程竣工验收通过后10天内完成该等撤离和拆除。除合同另有约定外，缺陷责任期满时，分包人的人员和施工设备应全部撤离施工场地。</w:t>
      </w:r>
      <w:bookmarkStart w:id="439" w:name="_Toc22089"/>
      <w:bookmarkStart w:id="440" w:name="_Toc407356012"/>
      <w:bookmarkStart w:id="441" w:name="_Toc44228000"/>
      <w:bookmarkStart w:id="442" w:name="_Toc15940"/>
      <w:bookmarkStart w:id="443" w:name="_Toc44492514"/>
      <w:bookmarkStart w:id="444" w:name="_Toc91082311"/>
      <w:bookmarkStart w:id="445" w:name="_Toc47512249"/>
    </w:p>
    <w:p>
      <w:pPr>
        <w:pStyle w:val="73"/>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19.缺陷责任</w:t>
      </w:r>
      <w:bookmarkEnd w:id="439"/>
      <w:bookmarkEnd w:id="440"/>
      <w:bookmarkEnd w:id="441"/>
      <w:bookmarkEnd w:id="442"/>
      <w:r>
        <w:rPr>
          <w:rFonts w:hint="eastAsia"/>
          <w:color w:val="000000" w:themeColor="text1"/>
          <w:highlight w:val="none"/>
          <w14:textFill>
            <w14:solidFill>
              <w14:schemeClr w14:val="tx1"/>
            </w14:solidFill>
          </w14:textFill>
        </w:rPr>
        <w:t>与</w:t>
      </w:r>
      <w:r>
        <w:rPr>
          <w:color w:val="000000" w:themeColor="text1"/>
          <w:highlight w:val="none"/>
          <w14:textFill>
            <w14:solidFill>
              <w14:schemeClr w14:val="tx1"/>
            </w14:solidFill>
          </w14:textFill>
        </w:rPr>
        <w:t>保修</w:t>
      </w:r>
      <w:bookmarkEnd w:id="443"/>
      <w:bookmarkEnd w:id="444"/>
      <w:bookmarkEnd w:id="445"/>
      <w:bookmarkStart w:id="446" w:name="_Toc44492515"/>
      <w:bookmarkStart w:id="447" w:name="_Toc22"/>
      <w:bookmarkStart w:id="448" w:name="_Toc21762"/>
    </w:p>
    <w:p>
      <w:pPr>
        <w:pStyle w:val="77"/>
        <w:ind w:firstLine="480"/>
        <w:rPr>
          <w:bCs w:val="0"/>
          <w:color w:val="000000" w:themeColor="text1"/>
          <w:highlight w:val="none"/>
          <w14:textFill>
            <w14:solidFill>
              <w14:schemeClr w14:val="tx1"/>
            </w14:solidFill>
          </w14:textFill>
        </w:rPr>
      </w:pPr>
      <w:r>
        <w:rPr>
          <w:rFonts w:hint="eastAsia"/>
          <w:bCs w:val="0"/>
          <w:color w:val="000000" w:themeColor="text1"/>
          <w:highlight w:val="none"/>
          <w14:textFill>
            <w14:solidFill>
              <w14:schemeClr w14:val="tx1"/>
            </w14:solidFill>
          </w14:textFill>
        </w:rPr>
        <w:t>19.1.</w:t>
      </w:r>
      <w:r>
        <w:rPr>
          <w:bCs w:val="0"/>
          <w:color w:val="000000" w:themeColor="text1"/>
          <w:highlight w:val="none"/>
          <w14:textFill>
            <w14:solidFill>
              <w14:schemeClr w14:val="tx1"/>
            </w14:solidFill>
          </w14:textFill>
        </w:rPr>
        <w:t xml:space="preserve"> </w:t>
      </w:r>
      <w:r>
        <w:rPr>
          <w:rFonts w:hint="eastAsia"/>
          <w:bCs w:val="0"/>
          <w:color w:val="000000" w:themeColor="text1"/>
          <w:highlight w:val="none"/>
          <w14:textFill>
            <w14:solidFill>
              <w14:schemeClr w14:val="tx1"/>
            </w14:solidFill>
          </w14:textFill>
        </w:rPr>
        <w:t>工</w:t>
      </w:r>
      <w:r>
        <w:rPr>
          <w:bCs w:val="0"/>
          <w:color w:val="000000" w:themeColor="text1"/>
          <w:highlight w:val="none"/>
          <w14:textFill>
            <w14:solidFill>
              <w14:schemeClr w14:val="tx1"/>
            </w14:solidFill>
          </w14:textFill>
        </w:rPr>
        <w:t>程保修的原则</w:t>
      </w:r>
      <w:bookmarkEnd w:id="446"/>
      <w:bookmarkStart w:id="449" w:name="_Toc4449251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在工程移交发包人后，因分包人原因产生的质量缺陷，分包人应承担质量缺陷责任和保修义务。缺陷责任期届满，分包人仍应按合同约定的工程各部位保修年限承担保修义务。</w:t>
      </w:r>
      <w:bookmarkEnd w:id="449"/>
      <w:r>
        <w:rPr>
          <w:rFonts w:hint="eastAsia"/>
          <w:color w:val="000000" w:themeColor="text1"/>
          <w:highlight w:val="none"/>
          <w14:textFill>
            <w14:solidFill>
              <w14:schemeClr w14:val="tx1"/>
            </w14:solidFill>
          </w14:textFill>
        </w:rPr>
        <w:tab/>
      </w:r>
      <w:bookmarkStart w:id="450" w:name="_Toc44492517"/>
    </w:p>
    <w:p>
      <w:pPr>
        <w:pStyle w:val="77"/>
        <w:ind w:firstLine="480"/>
        <w:rPr>
          <w:bCs w:val="0"/>
          <w:color w:val="000000" w:themeColor="text1"/>
          <w:highlight w:val="none"/>
          <w14:textFill>
            <w14:solidFill>
              <w14:schemeClr w14:val="tx1"/>
            </w14:solidFill>
          </w14:textFill>
        </w:rPr>
      </w:pPr>
      <w:r>
        <w:rPr>
          <w:rFonts w:hint="eastAsia"/>
          <w:bCs w:val="0"/>
          <w:color w:val="000000" w:themeColor="text1"/>
          <w:highlight w:val="none"/>
          <w14:textFill>
            <w14:solidFill>
              <w14:schemeClr w14:val="tx1"/>
            </w14:solidFill>
          </w14:textFill>
        </w:rPr>
        <w:t>19.2缺陷责任期</w:t>
      </w:r>
      <w:bookmarkEnd w:id="447"/>
      <w:bookmarkEnd w:id="448"/>
      <w:bookmarkEnd w:id="450"/>
      <w:bookmarkStart w:id="451" w:name="_Toc44492518"/>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19.2.1. </w:t>
      </w:r>
      <w:r>
        <w:rPr>
          <w:rFonts w:hint="eastAsia"/>
          <w:color w:val="000000" w:themeColor="text1"/>
          <w:highlight w:val="none"/>
          <w14:textFill>
            <w14:solidFill>
              <w14:schemeClr w14:val="tx1"/>
            </w14:solidFill>
          </w14:textFill>
        </w:rPr>
        <w:t>缺陷责任期起止时间按照专用条款的约定执行。</w:t>
      </w:r>
      <w:bookmarkEnd w:id="451"/>
      <w:bookmarkStart w:id="452" w:name="_Toc44492519"/>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9.2.2. 项目整体竣工验收合格后，因分包人原因导致的缺陷或损坏致使工程、单位工程或某项主要设备不能按原定目的使用的，则发包人有权要求承包人、分包人延长缺陷责任期，并应在原缺陷责任期届满前发出延长通知。</w:t>
      </w:r>
      <w:bookmarkEnd w:id="452"/>
      <w:bookmarkStart w:id="453" w:name="_Toc4449252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19.2.3任何一项缺陷或损坏修复后，经检查证明其影响了工程或工程设备的使用性能，分包人应重新进行合同约定的试验和试运行，试验和试运行的全部费用应由责任方承担。</w:t>
      </w:r>
      <w:bookmarkEnd w:id="453"/>
    </w:p>
    <w:p>
      <w:pPr>
        <w:pStyle w:val="52"/>
        <w:ind w:firstLine="420"/>
        <w:rPr>
          <w:b/>
          <w:bCs/>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 </w:t>
      </w:r>
      <w:bookmarkStart w:id="454" w:name="_Toc44492521"/>
      <w:r>
        <w:rPr>
          <w:color w:val="000000" w:themeColor="text1"/>
          <w:highlight w:val="none"/>
          <w14:textFill>
            <w14:solidFill>
              <w14:schemeClr w14:val="tx1"/>
            </w14:solidFill>
          </w14:textFill>
        </w:rPr>
        <w:t>19.2.4</w:t>
      </w:r>
      <w:r>
        <w:rPr>
          <w:rFonts w:hint="eastAsia"/>
          <w:color w:val="000000" w:themeColor="text1"/>
          <w:highlight w:val="none"/>
          <w14:textFill>
            <w14:solidFill>
              <w14:schemeClr w14:val="tx1"/>
            </w14:solidFill>
          </w14:textFill>
        </w:rPr>
        <w:t>除专用合同条款另有约定外，分包人应于缺陷责任期届满后7天内通过承包人向发包人发出缺陷责任期届满通知，发包人应在收到缺陷责任期满通知后14天内核实承包人、分包人是否履行缺陷修复义务，分包人未能履行缺陷修复义务的，承包人有权扣除相应金额的维修费用。</w:t>
      </w:r>
      <w:bookmarkEnd w:id="454"/>
    </w:p>
    <w:p>
      <w:pPr>
        <w:pStyle w:val="77"/>
        <w:ind w:firstLine="480"/>
        <w:rPr>
          <w:color w:val="000000" w:themeColor="text1"/>
          <w:highlight w:val="none"/>
          <w14:textFill>
            <w14:solidFill>
              <w14:schemeClr w14:val="tx1"/>
            </w14:solidFill>
          </w14:textFill>
        </w:rPr>
      </w:pPr>
      <w:bookmarkStart w:id="455" w:name="_Toc23428"/>
      <w:bookmarkStart w:id="456" w:name="_Toc44492522"/>
      <w:bookmarkStart w:id="457" w:name="_Toc7448"/>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缺陷责任程序</w:t>
      </w:r>
      <w:bookmarkEnd w:id="455"/>
      <w:bookmarkEnd w:id="456"/>
      <w:bookmarkEnd w:id="45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若分包人在合理时间内未完成发包人指明的缺陷的修复工程,或经发包人证实分包人在维修期间无故拖延，则发包人有权雇佣其他机构或人士进行修复和完成剩余工程。承包人有权从本工程质量保修金中扣除应由分包人承担的费用；质量保修金不足以清偿的，分包人应按发包人、承包人的通知另行支付、补足。</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3.2</w:t>
      </w:r>
      <w:bookmarkStart w:id="458" w:name="_Hlk47518290"/>
      <w:r>
        <w:rPr>
          <w:rFonts w:hint="eastAsia"/>
          <w:color w:val="000000" w:themeColor="text1"/>
          <w:highlight w:val="none"/>
          <w14:textFill>
            <w14:solidFill>
              <w14:schemeClr w14:val="tx1"/>
            </w14:solidFill>
          </w14:textFill>
        </w:rPr>
        <w:t>.</w:t>
      </w:r>
      <w:bookmarkEnd w:id="458"/>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缺陷责任期内分包人为缺陷修复工作需要，有权进入工程现场，但应遵守发包人的保安和保密规定。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质量保证金的退还并不表示分包人保修责任的结束，分包人仍须按照相关法律法规规章及本合同，包括但不限于专用条款的规定继续履行保修责任、质量责任。</w:t>
      </w:r>
    </w:p>
    <w:p>
      <w:pPr>
        <w:pStyle w:val="77"/>
        <w:ind w:firstLine="480"/>
        <w:rPr>
          <w:color w:val="000000" w:themeColor="text1"/>
          <w:highlight w:val="none"/>
          <w14:textFill>
            <w14:solidFill>
              <w14:schemeClr w14:val="tx1"/>
            </w14:solidFill>
          </w14:textFill>
        </w:rPr>
      </w:pPr>
      <w:bookmarkStart w:id="459" w:name="_Toc44492523"/>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 xml:space="preserve">.4 </w:t>
      </w:r>
      <w:r>
        <w:rPr>
          <w:rFonts w:hint="eastAsia"/>
          <w:color w:val="000000" w:themeColor="text1"/>
          <w:highlight w:val="none"/>
          <w14:textFill>
            <w14:solidFill>
              <w14:schemeClr w14:val="tx1"/>
            </w14:solidFill>
          </w14:textFill>
        </w:rPr>
        <w:t>保修</w:t>
      </w:r>
      <w:bookmarkEnd w:id="459"/>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0" w:name="_Toc44492524"/>
      <w:r>
        <w:rPr>
          <w:rFonts w:hint="eastAsia" w:eastAsia="仿宋_GB2312"/>
          <w:b w:val="0"/>
          <w:bCs w:val="0"/>
          <w:color w:val="000000" w:themeColor="text1"/>
          <w:kern w:val="0"/>
          <w:sz w:val="21"/>
          <w:highlight w:val="none"/>
          <w14:textFill>
            <w14:solidFill>
              <w14:schemeClr w14:val="tx1"/>
            </w14:solidFill>
          </w14:textFill>
        </w:rPr>
        <w:t>19.4.1. 保修责任</w:t>
      </w:r>
      <w:bookmarkEnd w:id="460"/>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工程保修期及具体分部分项工程的保修期由合同当事人在专用合同条款中约定，但不得低于法定最低保修年限。在工程保修期内，分包人应当根据有关法律规定以及合同约定承担保修责任。</w:t>
      </w:r>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1" w:name="_Toc44492525"/>
      <w:r>
        <w:rPr>
          <w:rFonts w:hint="eastAsia" w:eastAsia="仿宋_GB2312"/>
          <w:b w:val="0"/>
          <w:bCs w:val="0"/>
          <w:color w:val="000000" w:themeColor="text1"/>
          <w:kern w:val="0"/>
          <w:sz w:val="21"/>
          <w:highlight w:val="none"/>
          <w14:textFill>
            <w14:solidFill>
              <w14:schemeClr w14:val="tx1"/>
            </w14:solidFill>
          </w14:textFill>
        </w:rPr>
        <w:t>19.4.2. 修复费用</w:t>
      </w:r>
      <w:bookmarkEnd w:id="461"/>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保修期内，修复的费用按照以下约定处理：</w:t>
      </w:r>
    </w:p>
    <w:p>
      <w:pPr>
        <w:pStyle w:val="5"/>
        <w:keepNext w:val="0"/>
        <w:keepLines w:val="0"/>
        <w:adjustRightInd w:val="0"/>
        <w:snapToGrid w:val="0"/>
        <w:spacing w:before="0" w:after="0" w:line="360" w:lineRule="auto"/>
        <w:ind w:left="567"/>
        <w:jc w:val="left"/>
        <w:rPr>
          <w:rFonts w:ascii="Times New Roman" w:hAnsi="Times New Roman" w:eastAsia="仿宋_GB2312"/>
          <w:b w:val="0"/>
          <w:bCs w:val="0"/>
          <w:color w:val="000000" w:themeColor="text1"/>
          <w:kern w:val="0"/>
          <w:sz w:val="21"/>
          <w:szCs w:val="32"/>
          <w:highlight w:val="none"/>
          <w14:textFill>
            <w14:solidFill>
              <w14:schemeClr w14:val="tx1"/>
            </w14:solidFill>
          </w14:textFill>
        </w:rPr>
      </w:pPr>
      <w:r>
        <w:rPr>
          <w:rFonts w:hint="eastAsia" w:ascii="Times New Roman" w:hAnsi="Times New Roman" w:eastAsia="仿宋_GB2312"/>
          <w:b w:val="0"/>
          <w:bCs w:val="0"/>
          <w:color w:val="000000" w:themeColor="text1"/>
          <w:kern w:val="0"/>
          <w:sz w:val="21"/>
          <w:szCs w:val="32"/>
          <w:highlight w:val="none"/>
          <w14:textFill>
            <w14:solidFill>
              <w14:schemeClr w14:val="tx1"/>
            </w14:solidFill>
          </w14:textFill>
        </w:rPr>
        <w:t>1）保修期内，因分包人原因造成工程的缺陷、损坏，分包人应负责修复，并承担修复的费用以及因工程的缺陷、损坏造成的人身伤害和财产损失；</w:t>
      </w:r>
    </w:p>
    <w:p>
      <w:pPr>
        <w:pStyle w:val="5"/>
        <w:keepNext w:val="0"/>
        <w:keepLines w:val="0"/>
        <w:adjustRightInd w:val="0"/>
        <w:snapToGrid w:val="0"/>
        <w:spacing w:before="0" w:after="0" w:line="360" w:lineRule="auto"/>
        <w:ind w:left="567"/>
        <w:jc w:val="left"/>
        <w:rPr>
          <w:rFonts w:ascii="Times New Roman" w:hAnsi="Times New Roman" w:eastAsia="仿宋_GB2312"/>
          <w:b w:val="0"/>
          <w:bCs w:val="0"/>
          <w:color w:val="000000" w:themeColor="text1"/>
          <w:kern w:val="0"/>
          <w:sz w:val="21"/>
          <w:szCs w:val="32"/>
          <w:highlight w:val="none"/>
          <w14:textFill>
            <w14:solidFill>
              <w14:schemeClr w14:val="tx1"/>
            </w14:solidFill>
          </w14:textFill>
        </w:rPr>
      </w:pPr>
      <w:r>
        <w:rPr>
          <w:rFonts w:hint="eastAsia" w:ascii="Times New Roman" w:hAnsi="Times New Roman" w:eastAsia="仿宋_GB2312"/>
          <w:b w:val="0"/>
          <w:bCs w:val="0"/>
          <w:color w:val="000000" w:themeColor="text1"/>
          <w:kern w:val="0"/>
          <w:sz w:val="21"/>
          <w:szCs w:val="32"/>
          <w:highlight w:val="none"/>
          <w14:textFill>
            <w14:solidFill>
              <w14:schemeClr w14:val="tx1"/>
            </w14:solidFill>
          </w14:textFill>
        </w:rPr>
        <w:t>2）保修期内，因发包人使用不当造成工程的缺陷、损坏，可以委托分包人修复，但发包人应承担修复的费用；</w:t>
      </w:r>
    </w:p>
    <w:p>
      <w:pPr>
        <w:pStyle w:val="5"/>
        <w:keepNext w:val="0"/>
        <w:keepLines w:val="0"/>
        <w:adjustRightInd w:val="0"/>
        <w:snapToGrid w:val="0"/>
        <w:spacing w:before="0" w:after="0" w:line="360" w:lineRule="auto"/>
        <w:ind w:left="567"/>
        <w:jc w:val="left"/>
        <w:rPr>
          <w:rFonts w:ascii="Times New Roman" w:hAnsi="Times New Roman" w:eastAsia="仿宋_GB2312"/>
          <w:b w:val="0"/>
          <w:bCs w:val="0"/>
          <w:color w:val="000000" w:themeColor="text1"/>
          <w:kern w:val="0"/>
          <w:sz w:val="21"/>
          <w:szCs w:val="32"/>
          <w:highlight w:val="none"/>
          <w14:textFill>
            <w14:solidFill>
              <w14:schemeClr w14:val="tx1"/>
            </w14:solidFill>
          </w14:textFill>
        </w:rPr>
      </w:pPr>
      <w:r>
        <w:rPr>
          <w:rFonts w:hint="eastAsia" w:ascii="Times New Roman" w:hAnsi="Times New Roman" w:eastAsia="仿宋_GB2312"/>
          <w:b w:val="0"/>
          <w:bCs w:val="0"/>
          <w:color w:val="000000" w:themeColor="text1"/>
          <w:kern w:val="0"/>
          <w:sz w:val="21"/>
          <w:szCs w:val="32"/>
          <w:highlight w:val="none"/>
          <w14:textFill>
            <w14:solidFill>
              <w14:schemeClr w14:val="tx1"/>
            </w14:solidFill>
          </w14:textFill>
        </w:rPr>
        <w:t>3）因其他原因造成工程的缺陷、损坏，可以委托分包人修复，发包人应承担修复的费用，因工程的缺陷、损坏造成的人身伤害和财产损失由责任方承担。</w:t>
      </w:r>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2" w:name="_Toc44492526"/>
      <w:r>
        <w:rPr>
          <w:rFonts w:hint="eastAsia" w:eastAsia="仿宋_GB2312"/>
          <w:b w:val="0"/>
          <w:bCs w:val="0"/>
          <w:color w:val="000000" w:themeColor="text1"/>
          <w:kern w:val="0"/>
          <w:sz w:val="21"/>
          <w:highlight w:val="none"/>
          <w14:textFill>
            <w14:solidFill>
              <w14:schemeClr w14:val="tx1"/>
            </w14:solidFill>
          </w14:textFill>
        </w:rPr>
        <w:t>19.4.3. 修复通知</w:t>
      </w:r>
      <w:bookmarkEnd w:id="462"/>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在保修期内，发包人在使用过程中，发现已接收的工程存在缺陷或损坏的，应通过承包人书面通知分包人予以修复，但情况紧急必须立即修复缺陷或损坏的，分包人在口头通知后48小时内书面确认，分包人应在专用合同条款约定的合理期限内到达工程现场并修复缺陷或损坏。</w:t>
      </w:r>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3" w:name="_Toc44492527"/>
      <w:r>
        <w:rPr>
          <w:rFonts w:hint="eastAsia" w:eastAsia="仿宋_GB2312"/>
          <w:b w:val="0"/>
          <w:bCs w:val="0"/>
          <w:color w:val="000000" w:themeColor="text1"/>
          <w:kern w:val="0"/>
          <w:sz w:val="21"/>
          <w:highlight w:val="none"/>
          <w14:textFill>
            <w14:solidFill>
              <w14:schemeClr w14:val="tx1"/>
            </w14:solidFill>
          </w14:textFill>
        </w:rPr>
        <w:t>19.4.4. 未能修复</w:t>
      </w:r>
      <w:bookmarkEnd w:id="463"/>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因分包人原因造成工程的缺陷或损坏，分包人拒绝维修或未能在合理期限内修复缺陷或损坏，且经发包人、承包人书面催告后仍未修复的，发包人有权自行修复或委托第三方修复，所需费用由分包人承担。</w:t>
      </w:r>
    </w:p>
    <w:p>
      <w:pPr>
        <w:pStyle w:val="4"/>
        <w:keepNext w:val="0"/>
        <w:keepLines w:val="0"/>
        <w:numPr>
          <w:ilvl w:val="2"/>
          <w:numId w:val="0"/>
        </w:numPr>
        <w:adjustRightInd w:val="0"/>
        <w:snapToGrid w:val="0"/>
        <w:spacing w:before="0" w:after="0" w:line="360" w:lineRule="auto"/>
        <w:ind w:firstLine="420" w:firstLineChars="200"/>
        <w:jc w:val="left"/>
        <w:rPr>
          <w:rFonts w:eastAsia="仿宋_GB2312"/>
          <w:b w:val="0"/>
          <w:bCs w:val="0"/>
          <w:color w:val="000000" w:themeColor="text1"/>
          <w:kern w:val="0"/>
          <w:sz w:val="21"/>
          <w:highlight w:val="none"/>
          <w14:textFill>
            <w14:solidFill>
              <w14:schemeClr w14:val="tx1"/>
            </w14:solidFill>
          </w14:textFill>
        </w:rPr>
      </w:pPr>
      <w:bookmarkStart w:id="464" w:name="_Toc44492528"/>
      <w:r>
        <w:rPr>
          <w:rFonts w:hint="eastAsia" w:eastAsia="仿宋_GB2312"/>
          <w:b w:val="0"/>
          <w:bCs w:val="0"/>
          <w:color w:val="000000" w:themeColor="text1"/>
          <w:kern w:val="0"/>
          <w:sz w:val="21"/>
          <w:highlight w:val="none"/>
          <w14:textFill>
            <w14:solidFill>
              <w14:schemeClr w14:val="tx1"/>
            </w14:solidFill>
          </w14:textFill>
        </w:rPr>
        <w:t>19.4.5. 分包人出入权</w:t>
      </w:r>
      <w:bookmarkEnd w:id="464"/>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在保修期内，为了修复缺陷或损坏，分包人有权出入工程现场，除情况紧急必须立即修复缺陷或损坏外，分包人应通过承包人提前24小时通知发包人进场修复的时间。分包人进入工程现场前应获得发包人同意，且不应影响发包人正常的生产经营，并应遵守发包人有关保安和保密等规定。</w:t>
      </w:r>
    </w:p>
    <w:p>
      <w:pPr>
        <w:pStyle w:val="73"/>
        <w:rPr>
          <w:color w:val="000000" w:themeColor="text1"/>
          <w:highlight w:val="none"/>
          <w14:textFill>
            <w14:solidFill>
              <w14:schemeClr w14:val="tx1"/>
            </w14:solidFill>
          </w14:textFill>
        </w:rPr>
      </w:pPr>
      <w:bookmarkStart w:id="465" w:name="_Toc407356013"/>
      <w:bookmarkStart w:id="466" w:name="_Toc44228001"/>
      <w:bookmarkStart w:id="467" w:name="_Toc91082312"/>
      <w:bookmarkStart w:id="468" w:name="_Toc3977"/>
      <w:bookmarkStart w:id="469" w:name="_Toc44492529"/>
      <w:bookmarkStart w:id="470" w:name="_Toc6968"/>
      <w:bookmarkStart w:id="471" w:name="_Toc47512250"/>
      <w:r>
        <w:rPr>
          <w:rFonts w:hint="eastAsia"/>
          <w:color w:val="000000" w:themeColor="text1"/>
          <w:highlight w:val="none"/>
          <w14:textFill>
            <w14:solidFill>
              <w14:schemeClr w14:val="tx1"/>
            </w14:solidFill>
          </w14:textFill>
        </w:rPr>
        <w:t>20.保险</w:t>
      </w:r>
      <w:bookmarkEnd w:id="465"/>
      <w:bookmarkEnd w:id="466"/>
      <w:bookmarkEnd w:id="467"/>
      <w:bookmarkEnd w:id="468"/>
      <w:bookmarkEnd w:id="469"/>
      <w:bookmarkEnd w:id="470"/>
      <w:bookmarkEnd w:id="471"/>
    </w:p>
    <w:p>
      <w:pPr>
        <w:pStyle w:val="77"/>
        <w:ind w:firstLine="480"/>
        <w:rPr>
          <w:color w:val="000000" w:themeColor="text1"/>
          <w:highlight w:val="none"/>
          <w14:textFill>
            <w14:solidFill>
              <w14:schemeClr w14:val="tx1"/>
            </w14:solidFill>
          </w14:textFill>
        </w:rPr>
      </w:pPr>
      <w:bookmarkStart w:id="472" w:name="_Toc2062"/>
      <w:bookmarkStart w:id="473" w:name="_Toc44492530"/>
      <w:bookmarkStart w:id="474" w:name="_Toc20941"/>
      <w:r>
        <w:rPr>
          <w:rFonts w:hint="eastAsia"/>
          <w:color w:val="000000" w:themeColor="text1"/>
          <w:highlight w:val="none"/>
          <w14:textFill>
            <w14:solidFill>
              <w14:schemeClr w14:val="tx1"/>
            </w14:solidFill>
          </w14:textFill>
        </w:rPr>
        <w:t>20.1.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建筑工程一切险(含第三者责任险）</w:t>
      </w:r>
      <w:bookmarkEnd w:id="472"/>
      <w:bookmarkEnd w:id="473"/>
      <w:bookmarkEnd w:id="47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不免除或减少、降低分包人按本合同所承担的全部责任和义务的前提下，本工程项目应投保建筑工程一切险(含第三者责任险）。本工程项目应投保的建筑工程一切险（含第三者责任险）的相关费用均已包含在合同总价中。其具体的投保内容、保险金额、保险费率、保险期限、免赔额等有关内容在专用合同条款中约定。</w:t>
      </w:r>
    </w:p>
    <w:p>
      <w:pPr>
        <w:pStyle w:val="77"/>
        <w:ind w:firstLine="480"/>
        <w:rPr>
          <w:color w:val="000000" w:themeColor="text1"/>
          <w:highlight w:val="none"/>
          <w14:textFill>
            <w14:solidFill>
              <w14:schemeClr w14:val="tx1"/>
            </w14:solidFill>
          </w14:textFill>
        </w:rPr>
      </w:pPr>
      <w:bookmarkStart w:id="475" w:name="_Toc4392"/>
      <w:bookmarkStart w:id="476" w:name="_Toc44492531"/>
      <w:bookmarkStart w:id="477" w:name="_Toc6123"/>
      <w:r>
        <w:rPr>
          <w:rFonts w:hint="eastAsia"/>
          <w:color w:val="000000" w:themeColor="text1"/>
          <w:highlight w:val="none"/>
          <w14:textFill>
            <w14:solidFill>
              <w14:schemeClr w14:val="tx1"/>
            </w14:solidFill>
          </w14:textFill>
        </w:rPr>
        <w:t>20.2.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人身伤亡及财产损失责任险</w:t>
      </w:r>
      <w:bookmarkEnd w:id="475"/>
      <w:bookmarkEnd w:id="476"/>
      <w:bookmarkEnd w:id="47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对与本工程有关或本工程进行期间发生的或因本工程引致的人身伤亡、财产损失的费用、责任、损失、索偿或诉讼负责，并须保障发包人免负此类责任，除非有关伤亡是发包人或其应负责的人直接责任所引致的。若发包人因有关法律规定司法裁判、行政决定裁决或调解、和解协议或维稳需要先行承担责任或承担连带责任的，分包人应予赔偿。</w:t>
      </w:r>
    </w:p>
    <w:p>
      <w:pPr>
        <w:pStyle w:val="77"/>
        <w:ind w:firstLine="480"/>
        <w:rPr>
          <w:color w:val="000000" w:themeColor="text1"/>
          <w:highlight w:val="none"/>
          <w14:textFill>
            <w14:solidFill>
              <w14:schemeClr w14:val="tx1"/>
            </w14:solidFill>
          </w14:textFill>
        </w:rPr>
      </w:pPr>
      <w:bookmarkStart w:id="478" w:name="_Toc5802"/>
      <w:bookmarkStart w:id="479" w:name="_Toc44492532"/>
      <w:bookmarkStart w:id="480" w:name="_Toc2000"/>
      <w:r>
        <w:rPr>
          <w:rFonts w:hint="eastAsia"/>
          <w:color w:val="000000" w:themeColor="text1"/>
          <w:highlight w:val="none"/>
          <w14:textFill>
            <w14:solidFill>
              <w14:schemeClr w14:val="tx1"/>
            </w14:solidFill>
          </w14:textFill>
        </w:rPr>
        <w:t>20.3.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雇员赔偿保险</w:t>
      </w:r>
      <w:bookmarkEnd w:id="478"/>
      <w:bookmarkEnd w:id="479"/>
      <w:bookmarkEnd w:id="48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分包人须对其雇员、工作人员、代理人、劳务人员的意外或伤亡负全责。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对任何承包单位的雇员、代理人、劳务人员或其他人的意外或伤亡，不论该人是受雇于承包人或其他分包单位，皆不负任何法律上的赔偿责任。承包人须保障发包人免负任何有关的索偿、要求、诉讼、成本、费用和支出。若发包人因有关法律规定或司法行政决定或和解协议需要先行承担责任或承担连带责任的，承包人应予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分包人须为自己和对受雇于工地上或在当地任何地方从事与本工程有关的工作的所有员工、雇员、代理人、劳务人员或其他人的所有责任投有及维持所需的意外、工伤保险及社会保险等。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假若有任何受雇于本工程或与本合同有关的雇员或其他人士，受到损伤，不论有无索偿，承包人须马上以书面形式将该损伤通知发包人。</w:t>
      </w:r>
    </w:p>
    <w:p>
      <w:pPr>
        <w:pStyle w:val="77"/>
        <w:ind w:firstLine="480"/>
        <w:rPr>
          <w:color w:val="000000" w:themeColor="text1"/>
          <w:highlight w:val="none"/>
          <w14:textFill>
            <w14:solidFill>
              <w14:schemeClr w14:val="tx1"/>
            </w14:solidFill>
          </w14:textFill>
        </w:rPr>
      </w:pPr>
      <w:bookmarkStart w:id="481" w:name="_Toc28705"/>
      <w:bookmarkStart w:id="482" w:name="_Toc15128"/>
      <w:bookmarkStart w:id="483" w:name="_Toc44492533"/>
      <w:r>
        <w:rPr>
          <w:rFonts w:hint="eastAsia"/>
          <w:color w:val="000000" w:themeColor="text1"/>
          <w:highlight w:val="none"/>
          <w14:textFill>
            <w14:solidFill>
              <w14:schemeClr w14:val="tx1"/>
            </w14:solidFill>
          </w14:textFill>
        </w:rPr>
        <w:t>20.4.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其他保险</w:t>
      </w:r>
      <w:bookmarkEnd w:id="481"/>
      <w:bookmarkEnd w:id="482"/>
      <w:bookmarkEnd w:id="48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20.4.1.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除专用条款另有约定外，分包人应为其施工设备、进场的材料和工程设备等办理保险。</w:t>
      </w:r>
    </w:p>
    <w:p>
      <w:pPr>
        <w:pStyle w:val="77"/>
        <w:ind w:firstLine="480"/>
        <w:rPr>
          <w:color w:val="000000" w:themeColor="text1"/>
          <w:highlight w:val="none"/>
          <w14:textFill>
            <w14:solidFill>
              <w14:schemeClr w14:val="tx1"/>
            </w14:solidFill>
          </w14:textFill>
        </w:rPr>
      </w:pPr>
      <w:bookmarkStart w:id="484" w:name="_Toc44492534"/>
      <w:bookmarkStart w:id="485" w:name="_Toc22569"/>
      <w:bookmarkStart w:id="486" w:name="_Toc21252"/>
      <w:r>
        <w:rPr>
          <w:rFonts w:hint="eastAsia"/>
          <w:color w:val="000000" w:themeColor="text1"/>
          <w:highlight w:val="none"/>
          <w14:textFill>
            <w14:solidFill>
              <w14:schemeClr w14:val="tx1"/>
            </w14:solidFill>
          </w14:textFill>
        </w:rPr>
        <w:t>20.5.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对各项保险的一般要求</w:t>
      </w:r>
      <w:bookmarkEnd w:id="484"/>
      <w:bookmarkEnd w:id="485"/>
      <w:bookmarkEnd w:id="48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分包人应向承包人、发包人提交各项保险生效的证据和保险单副本，保险单必须与专用条款约定的条件保持一致。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将被视为对保险单内一切条款清楚明确，并积极地遵循保险条款和承保人关于解决索偿、追讨损失和防止意外的一切合理要求，并自费负责因未能遵循的后果。分包人应尊重保险索偿的结果并放弃对发包人因处理保险事宜引起的一切赔偿及责任追讨。分包人须自行承担保险单内规定的保险除外责任、免赔额、不负责项目或限制的费用，除非合同明确规定它们是属于发包人在本合同内应承担的风险或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需要变动保险合同条款时，应事先征得承包人、发包人同意，并通知监理人。保险人作出变动的，分包人应提异议的应及时提出异议、与其磋商，并在收到保险人通知后立即通知承包人、发包人和监理人，异议亦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分包人应与保险人保持联系，使保险人能够随时了解工程实施中的变动，并确保按保险合同条款要求持续保险。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当保险事故发生时，投保人应按照保险单规定的条件和期限及时向保险人报告。</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保险期若因分包人的过失而需延长，因此而增加的保险费由分包人负担。</w:t>
      </w:r>
    </w:p>
    <w:p>
      <w:pPr>
        <w:pStyle w:val="73"/>
        <w:rPr>
          <w:color w:val="000000" w:themeColor="text1"/>
          <w:highlight w:val="none"/>
          <w14:textFill>
            <w14:solidFill>
              <w14:schemeClr w14:val="tx1"/>
            </w14:solidFill>
          </w14:textFill>
        </w:rPr>
      </w:pPr>
      <w:bookmarkStart w:id="487" w:name="_Toc1341"/>
      <w:bookmarkStart w:id="488" w:name="_Toc44492535"/>
      <w:bookmarkStart w:id="489" w:name="_Toc407356014"/>
      <w:bookmarkStart w:id="490" w:name="_Toc5318"/>
      <w:bookmarkStart w:id="491" w:name="_Toc47512251"/>
      <w:bookmarkStart w:id="492" w:name="_Toc44228002"/>
      <w:bookmarkStart w:id="493" w:name="_Toc91082313"/>
      <w:r>
        <w:rPr>
          <w:rFonts w:hint="eastAsia"/>
          <w:color w:val="000000" w:themeColor="text1"/>
          <w:highlight w:val="none"/>
          <w14:textFill>
            <w14:solidFill>
              <w14:schemeClr w14:val="tx1"/>
            </w14:solidFill>
          </w14:textFill>
        </w:rPr>
        <w:t>21.不可抗力</w:t>
      </w:r>
      <w:bookmarkEnd w:id="487"/>
      <w:bookmarkEnd w:id="488"/>
      <w:bookmarkEnd w:id="489"/>
      <w:bookmarkEnd w:id="490"/>
      <w:bookmarkEnd w:id="491"/>
      <w:bookmarkEnd w:id="492"/>
      <w:bookmarkEnd w:id="493"/>
    </w:p>
    <w:p>
      <w:pPr>
        <w:pStyle w:val="77"/>
        <w:ind w:firstLine="480"/>
        <w:rPr>
          <w:color w:val="000000" w:themeColor="text1"/>
          <w:highlight w:val="none"/>
          <w14:textFill>
            <w14:solidFill>
              <w14:schemeClr w14:val="tx1"/>
            </w14:solidFill>
          </w14:textFill>
        </w:rPr>
      </w:pPr>
      <w:bookmarkStart w:id="494" w:name="_Toc44492536"/>
      <w:bookmarkStart w:id="495" w:name="_Toc7859"/>
      <w:bookmarkStart w:id="496" w:name="_Toc5740"/>
      <w:r>
        <w:rPr>
          <w:rFonts w:hint="eastAsia"/>
          <w:color w:val="000000" w:themeColor="text1"/>
          <w:highlight w:val="none"/>
          <w14:textFill>
            <w14:solidFill>
              <w14:schemeClr w14:val="tx1"/>
            </w14:solidFill>
          </w14:textFill>
        </w:rPr>
        <w:t>21.1.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不可抗力的确认</w:t>
      </w:r>
      <w:bookmarkEnd w:id="494"/>
      <w:bookmarkEnd w:id="495"/>
      <w:bookmarkEnd w:id="49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不可抗力是指分包人和承包人在订立合同时不可预见，在工程施工过程中不可避免发生并不能克服的自然灾害和社会性突发事件，如地震、海啸、瘟疫、水灾、骚乱、暴动、战争等。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发生后，发包人和承包人、分包人应及时认真统计所造成的损失，收集不可抗力造成损失的证据。合同当事人对是否属于不可抗力或其损失的意见不一致的，由三方商定或确定。发生争议时，按第23条的约定办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21.1.3不可抗力包括的范围以及事件处理同总包合同响应条款。</w:t>
      </w:r>
    </w:p>
    <w:p>
      <w:pPr>
        <w:pStyle w:val="77"/>
        <w:ind w:firstLine="480"/>
        <w:rPr>
          <w:color w:val="000000" w:themeColor="text1"/>
          <w:highlight w:val="none"/>
          <w14:textFill>
            <w14:solidFill>
              <w14:schemeClr w14:val="tx1"/>
            </w14:solidFill>
          </w14:textFill>
        </w:rPr>
      </w:pPr>
      <w:bookmarkStart w:id="497" w:name="_Toc44492537"/>
      <w:bookmarkStart w:id="498" w:name="_Toc27173"/>
      <w:bookmarkStart w:id="499" w:name="_Toc14381"/>
      <w:r>
        <w:rPr>
          <w:rFonts w:hint="eastAsia"/>
          <w:color w:val="000000" w:themeColor="text1"/>
          <w:highlight w:val="none"/>
          <w14:textFill>
            <w14:solidFill>
              <w14:schemeClr w14:val="tx1"/>
            </w14:solidFill>
          </w14:textFill>
        </w:rPr>
        <w:t>21.2.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不可抗力的通知</w:t>
      </w:r>
      <w:bookmarkEnd w:id="497"/>
      <w:bookmarkEnd w:id="498"/>
      <w:bookmarkEnd w:id="49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合同一方当事人遇到不可抗力事件，使其履行合同义务受到阻碍时，应立即通知合同另一方当事人、发包人和监理人，书面说明不可抗力和受阻碍的详细情况，并提供必要的证明。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如不可抗力持续发生，合同一方当事人应及时向合同另一方当事人、发包人和监理人提交中间报告，说明不可抗力和履行合同受阻的情况，并于不可抗力事件结束后28天内提交最终报告及有关资料。</w:t>
      </w:r>
    </w:p>
    <w:p>
      <w:pPr>
        <w:pStyle w:val="77"/>
        <w:ind w:firstLine="480"/>
        <w:rPr>
          <w:color w:val="000000" w:themeColor="text1"/>
          <w:highlight w:val="none"/>
          <w14:textFill>
            <w14:solidFill>
              <w14:schemeClr w14:val="tx1"/>
            </w14:solidFill>
          </w14:textFill>
        </w:rPr>
      </w:pPr>
      <w:bookmarkStart w:id="500" w:name="_Toc7341"/>
      <w:bookmarkStart w:id="501" w:name="_Toc8796"/>
      <w:bookmarkStart w:id="502" w:name="_Toc44492538"/>
      <w:r>
        <w:rPr>
          <w:rFonts w:hint="eastAsia"/>
          <w:color w:val="000000" w:themeColor="text1"/>
          <w:highlight w:val="none"/>
          <w14:textFill>
            <w14:solidFill>
              <w14:schemeClr w14:val="tx1"/>
            </w14:solidFill>
          </w14:textFill>
        </w:rPr>
        <w:t>21.3.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不可抗力后果及其处理</w:t>
      </w:r>
      <w:bookmarkEnd w:id="500"/>
      <w:bookmarkEnd w:id="501"/>
      <w:bookmarkEnd w:id="50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不可抗力发生后，发包人、承包人和分包人均应采取措施尽量避免和减少损失的扩大，任何一方没有采取有效措施导致损失扩大的，应对扩大的损失承担责任。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除专用条款另有约定外，不可抗力导致的人员伤亡、财产损失、费用增加和（或）工期延误等后果，由按以下原则承担：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永久工程，包括已运至施工场地的材料和工程设备的损害，以及因工程损害造成的第三者人员伤亡和财产损失由发包人承担；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分包人设备的损坏由分包人承担；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发包人、承包人和分包人各自承担其人员伤亡和其他财产损失及其相关费用；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分包人的停工损失由分包人承担，但停工期间应监理人要求照管工程和清理、修复工程的金额由发包人承担；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不能按期竣工的，应合理延长工期，分包人不需支付逾期竣工违约金。发包人要求赶工的，分包人应采取赶工措施，赶工费用由发包人承担。</w:t>
      </w:r>
    </w:p>
    <w:p>
      <w:pPr>
        <w:pStyle w:val="73"/>
        <w:rPr>
          <w:color w:val="000000" w:themeColor="text1"/>
          <w:highlight w:val="none"/>
          <w14:textFill>
            <w14:solidFill>
              <w14:schemeClr w14:val="tx1"/>
            </w14:solidFill>
          </w14:textFill>
        </w:rPr>
      </w:pPr>
      <w:bookmarkStart w:id="503" w:name="_Toc5360"/>
      <w:bookmarkStart w:id="504" w:name="_Toc44228003"/>
      <w:bookmarkStart w:id="505" w:name="_Toc18285"/>
      <w:bookmarkStart w:id="506" w:name="_Toc407356015"/>
      <w:bookmarkStart w:id="507" w:name="_Toc47512252"/>
      <w:bookmarkStart w:id="508" w:name="_Toc91082314"/>
      <w:bookmarkStart w:id="509" w:name="_Toc44492539"/>
      <w:r>
        <w:rPr>
          <w:rFonts w:hint="eastAsia"/>
          <w:color w:val="000000" w:themeColor="text1"/>
          <w:highlight w:val="none"/>
          <w14:textFill>
            <w14:solidFill>
              <w14:schemeClr w14:val="tx1"/>
            </w14:solidFill>
          </w14:textFill>
        </w:rPr>
        <w:t>22.违约</w:t>
      </w:r>
      <w:bookmarkEnd w:id="503"/>
      <w:bookmarkEnd w:id="504"/>
      <w:bookmarkEnd w:id="505"/>
      <w:bookmarkEnd w:id="506"/>
      <w:bookmarkEnd w:id="507"/>
      <w:bookmarkEnd w:id="508"/>
      <w:bookmarkEnd w:id="509"/>
    </w:p>
    <w:p>
      <w:pPr>
        <w:pStyle w:val="77"/>
        <w:ind w:firstLine="480"/>
        <w:rPr>
          <w:color w:val="000000" w:themeColor="text1"/>
          <w:highlight w:val="none"/>
          <w14:textFill>
            <w14:solidFill>
              <w14:schemeClr w14:val="tx1"/>
            </w14:solidFill>
          </w14:textFill>
        </w:rPr>
      </w:pPr>
      <w:bookmarkStart w:id="510" w:name="_Toc22285"/>
      <w:bookmarkStart w:id="511" w:name="_Toc44492540"/>
      <w:bookmarkStart w:id="512" w:name="_Toc29125"/>
      <w:r>
        <w:rPr>
          <w:rFonts w:hint="eastAsia"/>
          <w:color w:val="000000" w:themeColor="text1"/>
          <w:highlight w:val="none"/>
          <w14:textFill>
            <w14:solidFill>
              <w14:schemeClr w14:val="tx1"/>
            </w14:solidFill>
          </w14:textFill>
        </w:rPr>
        <w:t>22.1.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分包人违约</w:t>
      </w:r>
      <w:bookmarkEnd w:id="510"/>
      <w:bookmarkEnd w:id="511"/>
      <w:bookmarkEnd w:id="512"/>
    </w:p>
    <w:p>
      <w:pPr>
        <w:pStyle w:val="77"/>
        <w:ind w:firstLine="420"/>
        <w:outlineLvl w:val="9"/>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22.1.1</w:t>
      </w:r>
      <w:r>
        <w:rPr>
          <w:rFonts w:eastAsia="仿宋_GB2312"/>
          <w:color w:val="000000" w:themeColor="text1"/>
          <w:kern w:val="0"/>
          <w:sz w:val="21"/>
          <w:highlight w:val="none"/>
          <w14:textFill>
            <w14:solidFill>
              <w14:schemeClr w14:val="tx1"/>
            </w14:solidFill>
          </w14:textFill>
        </w:rPr>
        <w:t>. 在履行合同过程中分包人</w:t>
      </w:r>
      <w:r>
        <w:rPr>
          <w:rFonts w:hint="eastAsia" w:eastAsia="仿宋_GB2312"/>
          <w:color w:val="000000" w:themeColor="text1"/>
          <w:kern w:val="0"/>
          <w:sz w:val="21"/>
          <w:highlight w:val="none"/>
          <w14:textFill>
            <w14:solidFill>
              <w14:schemeClr w14:val="tx1"/>
            </w14:solidFill>
          </w14:textFill>
        </w:rPr>
        <w:t>的</w:t>
      </w:r>
      <w:r>
        <w:rPr>
          <w:rFonts w:eastAsia="仿宋_GB2312"/>
          <w:color w:val="000000" w:themeColor="text1"/>
          <w:kern w:val="0"/>
          <w:sz w:val="21"/>
          <w:highlight w:val="none"/>
          <w14:textFill>
            <w14:solidFill>
              <w14:schemeClr w14:val="tx1"/>
            </w14:solidFill>
          </w14:textFill>
        </w:rPr>
        <w:t>违约</w:t>
      </w:r>
      <w:r>
        <w:rPr>
          <w:rFonts w:hint="eastAsia" w:eastAsia="仿宋_GB2312"/>
          <w:color w:val="000000" w:themeColor="text1"/>
          <w:kern w:val="0"/>
          <w:sz w:val="21"/>
          <w:highlight w:val="none"/>
          <w14:textFill>
            <w14:solidFill>
              <w14:schemeClr w14:val="tx1"/>
            </w14:solidFill>
          </w14:textFill>
        </w:rPr>
        <w:t>情况在专用合同条款约定。</w:t>
      </w:r>
    </w:p>
    <w:p>
      <w:pPr>
        <w:pStyle w:val="77"/>
        <w:spacing w:before="0" w:after="0"/>
        <w:ind w:firstLine="420"/>
        <w:outlineLvl w:val="9"/>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22.1.2. 分包人有任何违反本合同义务的行为都构成违约，均须按法律和合同约定承担违约责任。</w:t>
      </w:r>
    </w:p>
    <w:p>
      <w:pPr>
        <w:pStyle w:val="77"/>
        <w:spacing w:before="0" w:after="0"/>
        <w:ind w:firstLine="420"/>
        <w:outlineLvl w:val="9"/>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22.1.3. 对于分包人的违约行为，分包人承担违约责任的形式包括但不限于：</w:t>
      </w:r>
    </w:p>
    <w:p>
      <w:pPr>
        <w:pStyle w:val="77"/>
        <w:spacing w:before="0" w:after="0"/>
        <w:ind w:firstLine="630" w:firstLineChars="300"/>
        <w:outlineLvl w:val="9"/>
        <w:rPr>
          <w:rFonts w:eastAsia="仿宋_GB2312"/>
          <w:color w:val="000000" w:themeColor="text1"/>
          <w:kern w:val="0"/>
          <w:sz w:val="21"/>
          <w:highlight w:val="none"/>
          <w14:textFill>
            <w14:solidFill>
              <w14:schemeClr w14:val="tx1"/>
            </w14:solidFill>
          </w14:textFill>
        </w:rPr>
      </w:pPr>
      <w:r>
        <w:rPr>
          <w:rFonts w:eastAsia="仿宋_GB2312"/>
          <w:color w:val="000000" w:themeColor="text1"/>
          <w:kern w:val="0"/>
          <w:sz w:val="21"/>
          <w:highlight w:val="none"/>
          <w14:textFill>
            <w14:solidFill>
              <w14:schemeClr w14:val="tx1"/>
            </w14:solidFill>
          </w14:textFill>
        </w:rPr>
        <w:t>1</w:t>
      </w:r>
      <w:r>
        <w:rPr>
          <w:rFonts w:hint="eastAsia" w:eastAsia="仿宋_GB2312"/>
          <w:color w:val="000000" w:themeColor="text1"/>
          <w:kern w:val="0"/>
          <w:sz w:val="21"/>
          <w:highlight w:val="none"/>
          <w14:textFill>
            <w14:solidFill>
              <w14:schemeClr w14:val="tx1"/>
            </w14:solidFill>
          </w14:textFill>
        </w:rPr>
        <w:t>）严重违约责任：分包人违反合同义务符合承担严重违约责任的情形时，除按法律及合同约定承担其他违约责任外，每次还应当按专用合同条款的约定承担严重违约责任；</w:t>
      </w:r>
    </w:p>
    <w:p>
      <w:pPr>
        <w:pStyle w:val="4"/>
        <w:numPr>
          <w:ilvl w:val="2"/>
          <w:numId w:val="0"/>
        </w:numPr>
        <w:spacing w:before="0" w:after="0" w:line="360" w:lineRule="auto"/>
        <w:ind w:left="426" w:firstLine="140" w:firstLineChars="67"/>
        <w:rPr>
          <w:rFonts w:eastAsia="仿宋_GB2312"/>
          <w:b w:val="0"/>
          <w:bCs w:val="0"/>
          <w:color w:val="000000" w:themeColor="text1"/>
          <w:kern w:val="0"/>
          <w:sz w:val="21"/>
          <w:highlight w:val="none"/>
          <w14:textFill>
            <w14:solidFill>
              <w14:schemeClr w14:val="tx1"/>
            </w14:solidFill>
          </w14:textFill>
        </w:rPr>
      </w:pPr>
      <w:bookmarkStart w:id="513" w:name="_Toc44492541"/>
      <w:r>
        <w:rPr>
          <w:rFonts w:hint="eastAsia" w:eastAsia="仿宋_GB2312"/>
          <w:b w:val="0"/>
          <w:bCs w:val="0"/>
          <w:color w:val="000000" w:themeColor="text1"/>
          <w:kern w:val="0"/>
          <w:sz w:val="21"/>
          <w:highlight w:val="none"/>
          <w14:textFill>
            <w14:solidFill>
              <w14:schemeClr w14:val="tx1"/>
            </w14:solidFill>
          </w14:textFill>
        </w:rPr>
        <w:t>2）重大违约责任：分包人违反合同义务符合承担重大违约责任的情形时，除按法律及合同约定承担其他违约责任外，每次还应当按专用合同条款的约定承担重大违约责任；</w:t>
      </w:r>
      <w:bookmarkEnd w:id="513"/>
    </w:p>
    <w:p>
      <w:pPr>
        <w:pStyle w:val="4"/>
        <w:numPr>
          <w:ilvl w:val="2"/>
          <w:numId w:val="0"/>
        </w:numPr>
        <w:spacing w:before="0" w:after="0" w:line="360" w:lineRule="auto"/>
        <w:ind w:left="426" w:firstLine="140" w:firstLineChars="67"/>
        <w:rPr>
          <w:rFonts w:eastAsia="仿宋_GB2312"/>
          <w:b w:val="0"/>
          <w:bCs w:val="0"/>
          <w:color w:val="000000" w:themeColor="text1"/>
          <w:kern w:val="0"/>
          <w:sz w:val="21"/>
          <w:highlight w:val="none"/>
          <w14:textFill>
            <w14:solidFill>
              <w14:schemeClr w14:val="tx1"/>
            </w14:solidFill>
          </w14:textFill>
        </w:rPr>
      </w:pPr>
      <w:bookmarkStart w:id="514" w:name="_Toc44492542"/>
      <w:r>
        <w:rPr>
          <w:rFonts w:hint="eastAsia" w:eastAsia="仿宋_GB2312"/>
          <w:b w:val="0"/>
          <w:bCs w:val="0"/>
          <w:color w:val="000000" w:themeColor="text1"/>
          <w:kern w:val="0"/>
          <w:sz w:val="21"/>
          <w:highlight w:val="none"/>
          <w14:textFill>
            <w14:solidFill>
              <w14:schemeClr w14:val="tx1"/>
            </w14:solidFill>
          </w14:textFill>
        </w:rPr>
        <w:t>3）一般违约责任：分包人违反合同义务符合承担一般违约责任的情形时，除按法律及合同约定承担其他违约责任外，每次还应当按专用合同条款的约定承担一般违约责任；</w:t>
      </w:r>
      <w:bookmarkEnd w:id="514"/>
    </w:p>
    <w:p>
      <w:pPr>
        <w:pStyle w:val="4"/>
        <w:numPr>
          <w:ilvl w:val="2"/>
          <w:numId w:val="0"/>
        </w:numPr>
        <w:spacing w:before="0" w:after="0" w:line="360" w:lineRule="auto"/>
        <w:ind w:left="426" w:firstLine="140" w:firstLineChars="67"/>
        <w:rPr>
          <w:rFonts w:eastAsia="仿宋_GB2312"/>
          <w:b w:val="0"/>
          <w:bCs w:val="0"/>
          <w:color w:val="000000" w:themeColor="text1"/>
          <w:kern w:val="0"/>
          <w:sz w:val="21"/>
          <w:highlight w:val="none"/>
          <w14:textFill>
            <w14:solidFill>
              <w14:schemeClr w14:val="tx1"/>
            </w14:solidFill>
          </w14:textFill>
        </w:rPr>
      </w:pPr>
      <w:bookmarkStart w:id="515" w:name="_Toc44492543"/>
      <w:r>
        <w:rPr>
          <w:rFonts w:hint="eastAsia" w:eastAsia="仿宋_GB2312"/>
          <w:b w:val="0"/>
          <w:bCs w:val="0"/>
          <w:color w:val="000000" w:themeColor="text1"/>
          <w:kern w:val="0"/>
          <w:sz w:val="21"/>
          <w:highlight w:val="none"/>
          <w14:textFill>
            <w14:solidFill>
              <w14:schemeClr w14:val="tx1"/>
            </w14:solidFill>
          </w14:textFill>
        </w:rPr>
        <w:t>4）经发包人书面确认同意，因分包人违约造成承包人解除合同：分包人违反合同义务符合承包人可解除合同的情形时，承包人有权向分包人发出书面解除合同的通知，合同自该通知在送达分包人时即解除，分包人除按法律及合同约定承担其他违约责任外，还应当向承包人按专用条款约定承担违约责任。分包人向承包人承担违约责任并不免除分包人依法应承担的所有责任。</w:t>
      </w:r>
      <w:bookmarkEnd w:id="515"/>
    </w:p>
    <w:p>
      <w:pPr>
        <w:spacing w:line="360" w:lineRule="auto"/>
        <w:ind w:firstLine="567" w:firstLineChars="27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5）分包人其他责任以合同约定为准。</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22.1.4</w:t>
      </w:r>
      <w:r>
        <w:rPr>
          <w:rFonts w:eastAsia="仿宋_GB2312"/>
          <w:color w:val="000000" w:themeColor="text1"/>
          <w:kern w:val="0"/>
          <w:szCs w:val="32"/>
          <w:highlight w:val="none"/>
          <w14:textFill>
            <w14:solidFill>
              <w14:schemeClr w14:val="tx1"/>
            </w14:solidFill>
          </w14:textFill>
        </w:rPr>
        <w:t xml:space="preserve">. </w:t>
      </w:r>
      <w:r>
        <w:rPr>
          <w:rFonts w:hint="eastAsia" w:eastAsia="仿宋_GB2312"/>
          <w:color w:val="000000" w:themeColor="text1"/>
          <w:kern w:val="0"/>
          <w:szCs w:val="32"/>
          <w:highlight w:val="none"/>
          <w14:textFill>
            <w14:solidFill>
              <w14:schemeClr w14:val="tx1"/>
            </w14:solidFill>
          </w14:textFill>
        </w:rPr>
        <w:t>分包人支付违约金和承担其他违约责任的方法包括但不限于：</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1</w:t>
      </w:r>
      <w:r>
        <w:rPr>
          <w:rFonts w:hint="eastAsia" w:eastAsia="仿宋_GB2312"/>
          <w:color w:val="000000" w:themeColor="text1"/>
          <w:kern w:val="0"/>
          <w:szCs w:val="32"/>
          <w:highlight w:val="none"/>
          <w14:textFill>
            <w14:solidFill>
              <w14:schemeClr w14:val="tx1"/>
            </w14:solidFill>
          </w14:textFill>
        </w:rPr>
        <w:t>）发包人有权从应支付给分包人的工程款中直接扣除。</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2</w:t>
      </w:r>
      <w:r>
        <w:rPr>
          <w:rFonts w:hint="eastAsia" w:eastAsia="仿宋_GB2312"/>
          <w:color w:val="000000" w:themeColor="text1"/>
          <w:kern w:val="0"/>
          <w:szCs w:val="32"/>
          <w:highlight w:val="none"/>
          <w14:textFill>
            <w14:solidFill>
              <w14:schemeClr w14:val="tx1"/>
            </w14:solidFill>
          </w14:textFill>
        </w:rPr>
        <w:t>）发包人有权向分包人所提供履约保函的银行提取相应的履约保证金额或直接从质量保证金中扣除。</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3</w:t>
      </w:r>
      <w:r>
        <w:rPr>
          <w:rFonts w:hint="eastAsia" w:eastAsia="仿宋_GB2312"/>
          <w:color w:val="000000" w:themeColor="text1"/>
          <w:kern w:val="0"/>
          <w:szCs w:val="32"/>
          <w:highlight w:val="none"/>
          <w14:textFill>
            <w14:solidFill>
              <w14:schemeClr w14:val="tx1"/>
            </w14:solidFill>
          </w14:textFill>
        </w:rPr>
        <w:t>）发包人通知分包人支付或向分包人追偿，分包人应直接支付。</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4</w:t>
      </w:r>
      <w:r>
        <w:rPr>
          <w:rFonts w:hint="eastAsia" w:eastAsia="仿宋_GB2312"/>
          <w:color w:val="000000" w:themeColor="text1"/>
          <w:kern w:val="0"/>
          <w:szCs w:val="32"/>
          <w:highlight w:val="none"/>
          <w14:textFill>
            <w14:solidFill>
              <w14:schemeClr w14:val="tx1"/>
            </w14:solidFill>
          </w14:textFill>
        </w:rPr>
        <w:t>）分包人所支付的违约金不足弥补发包人损失的，分包人需赔偿发包人的全部损失。</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22.1.5. 除本合同另有约定外，分包人承担违约赔偿责任的范围包括但不限于发包人及承包人的直接经济损失、向第三方承担的违约责任以及发生的诉讼费、仲裁费、律师费等费用支出。</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22.1.6. 对分包人违约的整改通知</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1</w:t>
      </w:r>
      <w:r>
        <w:rPr>
          <w:rFonts w:hint="eastAsia" w:eastAsia="仿宋_GB2312"/>
          <w:color w:val="000000" w:themeColor="text1"/>
          <w:kern w:val="0"/>
          <w:szCs w:val="32"/>
          <w:highlight w:val="none"/>
          <w14:textFill>
            <w14:solidFill>
              <w14:schemeClr w14:val="tx1"/>
            </w14:solidFill>
          </w14:textFill>
        </w:rPr>
        <w:t>）分包人发生违约，但未达到可解除合同的情况时，除应承担合同约定的违约责任外，监理人还可向分包人发出整改通知，要求其在指定的期限内改正。分包人应承担其违约所引起的费用增加和（或）工期延误。</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2</w:t>
      </w:r>
      <w:r>
        <w:rPr>
          <w:rFonts w:hint="eastAsia" w:eastAsia="仿宋_GB2312"/>
          <w:color w:val="000000" w:themeColor="text1"/>
          <w:kern w:val="0"/>
          <w:szCs w:val="32"/>
          <w:highlight w:val="none"/>
          <w14:textFill>
            <w14:solidFill>
              <w14:schemeClr w14:val="tx1"/>
            </w14:solidFill>
          </w14:textFill>
        </w:rPr>
        <w:t>）监理人要求分包人停工整改的，经检查证明分包人已采取了有效措施纠正违约行为，具备复工条件的，可由监理人在取得发包人同意的情况下签发复工通知复工。</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3</w:t>
      </w:r>
      <w:r>
        <w:rPr>
          <w:rFonts w:hint="eastAsia" w:eastAsia="仿宋_GB2312"/>
          <w:color w:val="000000" w:themeColor="text1"/>
          <w:kern w:val="0"/>
          <w:szCs w:val="32"/>
          <w:highlight w:val="none"/>
          <w14:textFill>
            <w14:solidFill>
              <w14:schemeClr w14:val="tx1"/>
            </w14:solidFill>
          </w14:textFill>
        </w:rPr>
        <w:t>）监理人发出整改通知7天后，分包人仍不纠正违约行为的，经发包人书面同意，承包人有权向分包人发出解除合同通知。</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22.1.7. 分包人违约解除合同</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22.1.7.1.</w:t>
      </w:r>
      <w:r>
        <w:rPr>
          <w:rFonts w:hint="eastAsia" w:eastAsia="仿宋_GB2312"/>
          <w:color w:val="000000" w:themeColor="text1"/>
          <w:kern w:val="0"/>
          <w:szCs w:val="32"/>
          <w:highlight w:val="none"/>
          <w14:textFill>
            <w14:solidFill>
              <w14:schemeClr w14:val="tx1"/>
            </w14:solidFill>
          </w14:textFill>
        </w:rPr>
        <w:tab/>
      </w:r>
      <w:r>
        <w:rPr>
          <w:rFonts w:hint="eastAsia" w:eastAsia="仿宋_GB2312"/>
          <w:color w:val="000000" w:themeColor="text1"/>
          <w:kern w:val="0"/>
          <w:szCs w:val="32"/>
          <w:highlight w:val="none"/>
          <w14:textFill>
            <w14:solidFill>
              <w14:schemeClr w14:val="tx1"/>
            </w14:solidFill>
          </w14:textFill>
        </w:rPr>
        <w:t>合同解除后，发包人、承包人可派员进驻施工场地，另行组织人员或委托其他分包人施工。发包人、承包人因继续完成该工程的需要，有权扣留使用分包人在现场的材料、设备和临时设施。但发包人、承包人的这一行动不免除分包人应承担的违约责任，也不影响发包人、承包人根据合同约定享有的索赔权利。</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22.1.7.2. 因分包人违约导致合同解除后的估价、付款和结清</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1</w:t>
      </w:r>
      <w:r>
        <w:rPr>
          <w:rFonts w:hint="eastAsia" w:eastAsia="仿宋_GB2312"/>
          <w:color w:val="000000" w:themeColor="text1"/>
          <w:kern w:val="0"/>
          <w:szCs w:val="32"/>
          <w:highlight w:val="none"/>
          <w14:textFill>
            <w14:solidFill>
              <w14:schemeClr w14:val="tx1"/>
            </w14:solidFill>
          </w14:textFill>
        </w:rPr>
        <w:t>）合同解除后，发包人、承包人商定或确定分包人实际完成工作的价值，以及分包人已提供的材料、施工设备、工程设备和临时工程等的价值。</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2</w:t>
      </w:r>
      <w:r>
        <w:rPr>
          <w:rFonts w:hint="eastAsia" w:eastAsia="仿宋_GB2312"/>
          <w:color w:val="000000" w:themeColor="text1"/>
          <w:kern w:val="0"/>
          <w:szCs w:val="32"/>
          <w:highlight w:val="none"/>
          <w14:textFill>
            <w14:solidFill>
              <w14:schemeClr w14:val="tx1"/>
            </w14:solidFill>
          </w14:textFill>
        </w:rPr>
        <w:t>）合同解除后，发包人、承包人有权暂停对分包人的一切付款，核清各项付款和已扣款金额，以及分包人应支付的违约金。</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3</w:t>
      </w:r>
      <w:r>
        <w:rPr>
          <w:rFonts w:hint="eastAsia" w:eastAsia="仿宋_GB2312"/>
          <w:color w:val="000000" w:themeColor="text1"/>
          <w:kern w:val="0"/>
          <w:szCs w:val="32"/>
          <w:highlight w:val="none"/>
          <w14:textFill>
            <w14:solidFill>
              <w14:schemeClr w14:val="tx1"/>
            </w14:solidFill>
          </w14:textFill>
        </w:rPr>
        <w:t>）发包人、承包人有权没收履约担保项下的金额，并按合同约定扣留分包人一定比例的质量保证金，分包人应当按合同约定承担缺陷保修责任，计算缺陷责任期、保修期的开始时间由双方协商确定。</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4</w:t>
      </w:r>
      <w:r>
        <w:rPr>
          <w:rFonts w:hint="eastAsia" w:eastAsia="仿宋_GB2312"/>
          <w:color w:val="000000" w:themeColor="text1"/>
          <w:kern w:val="0"/>
          <w:szCs w:val="32"/>
          <w:highlight w:val="none"/>
          <w14:textFill>
            <w14:solidFill>
              <w14:schemeClr w14:val="tx1"/>
            </w14:solidFill>
          </w14:textFill>
        </w:rPr>
        <w:t>）合同解除后，发包人或承包人应向分包人索赔由于解除合同给发包人或承包人造成的全部损失。</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eastAsia="仿宋_GB2312"/>
          <w:color w:val="000000" w:themeColor="text1"/>
          <w:kern w:val="0"/>
          <w:szCs w:val="32"/>
          <w:highlight w:val="none"/>
          <w14:textFill>
            <w14:solidFill>
              <w14:schemeClr w14:val="tx1"/>
            </w14:solidFill>
          </w14:textFill>
        </w:rPr>
        <w:t>5</w:t>
      </w:r>
      <w:r>
        <w:rPr>
          <w:rFonts w:hint="eastAsia" w:eastAsia="仿宋_GB2312"/>
          <w:color w:val="000000" w:themeColor="text1"/>
          <w:kern w:val="0"/>
          <w:szCs w:val="32"/>
          <w:highlight w:val="none"/>
          <w14:textFill>
            <w14:solidFill>
              <w14:schemeClr w14:val="tx1"/>
            </w14:solidFill>
          </w14:textFill>
        </w:rPr>
        <w:t>）承包人和分包人未能就解除合同后的结清达成一致而形成争议的，按第23条的约定办理。</w:t>
      </w:r>
    </w:p>
    <w:p>
      <w:pPr>
        <w:spacing w:line="360" w:lineRule="auto"/>
        <w:ind w:firstLine="424" w:firstLineChars="202"/>
        <w:rPr>
          <w:color w:val="000000" w:themeColor="text1"/>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22.1.7.3</w:t>
      </w:r>
      <w:r>
        <w:rPr>
          <w:rFonts w:eastAsia="仿宋_GB2312"/>
          <w:color w:val="000000" w:themeColor="text1"/>
          <w:kern w:val="0"/>
          <w:szCs w:val="32"/>
          <w:highlight w:val="none"/>
          <w14:textFill>
            <w14:solidFill>
              <w14:schemeClr w14:val="tx1"/>
            </w14:solidFill>
          </w14:textFill>
        </w:rPr>
        <w:t xml:space="preserve"> </w:t>
      </w:r>
      <w:r>
        <w:rPr>
          <w:rFonts w:hint="eastAsia" w:eastAsia="仿宋_GB2312"/>
          <w:color w:val="000000" w:themeColor="text1"/>
          <w:kern w:val="0"/>
          <w:szCs w:val="32"/>
          <w:highlight w:val="none"/>
          <w14:textFill>
            <w14:solidFill>
              <w14:schemeClr w14:val="tx1"/>
            </w14:solidFill>
          </w14:textFill>
        </w:rPr>
        <w:t>协议利益的转让</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hint="eastAsia" w:eastAsia="仿宋_GB2312"/>
          <w:color w:val="000000" w:themeColor="text1"/>
          <w:kern w:val="0"/>
          <w:szCs w:val="32"/>
          <w:highlight w:val="none"/>
          <w14:textFill>
            <w14:solidFill>
              <w14:schemeClr w14:val="tx1"/>
            </w14:solidFill>
          </w14:textFill>
        </w:rPr>
        <w:t>因分包人违约解除合同或经发包人书面同意承包人因分包人违约而解除合同的，发包人有权要求分包人将其为实施合同而签订的材料和设备的订货协议或任何服务协议利益按不高于其项下待支付价款或届时市场批发价格（以低者为准）转让给承包人或承包人指定的接替分包人，并在解除合同后的14天内，依法办理转让手续。分包人应按承包人的要求办理。</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22.1.8</w:t>
      </w:r>
      <w:r>
        <w:rPr>
          <w:rFonts w:eastAsia="仿宋_GB2312"/>
          <w:color w:val="000000" w:themeColor="text1"/>
          <w:kern w:val="0"/>
          <w:szCs w:val="32"/>
          <w:highlight w:val="none"/>
          <w14:textFill>
            <w14:solidFill>
              <w14:schemeClr w14:val="tx1"/>
            </w14:solidFill>
          </w14:textFill>
        </w:rPr>
        <w:t xml:space="preserve">. </w:t>
      </w:r>
      <w:r>
        <w:rPr>
          <w:rFonts w:hint="eastAsia" w:eastAsia="仿宋_GB2312"/>
          <w:color w:val="000000" w:themeColor="text1"/>
          <w:kern w:val="0"/>
          <w:szCs w:val="32"/>
          <w:highlight w:val="none"/>
          <w14:textFill>
            <w14:solidFill>
              <w14:schemeClr w14:val="tx1"/>
            </w14:solidFill>
          </w14:textFill>
        </w:rPr>
        <w:t>紧急情况下无能力或不愿进行抢救</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ab/>
      </w:r>
      <w:r>
        <w:rPr>
          <w:rFonts w:hint="eastAsia" w:eastAsia="仿宋_GB2312"/>
          <w:color w:val="000000" w:themeColor="text1"/>
          <w:kern w:val="0"/>
          <w:szCs w:val="32"/>
          <w:highlight w:val="none"/>
          <w14:textFill>
            <w14:solidFill>
              <w14:schemeClr w14:val="tx1"/>
            </w14:solidFill>
          </w14:textFill>
        </w:rPr>
        <w:t>在工程实施期间或缺陷责任期、保修期内发生危及工程安全的事件，监理人通知分包人进行抢救，分包人声明无能力或不愿立即执行或实际执行不足的，发包人或承包人有权雇佣其他人员进行抢救。此类抢救按合同约定属于分包人义务的，由此发生的金额和（或）工期延误由分包人承担。</w:t>
      </w:r>
    </w:p>
    <w:p>
      <w:pPr>
        <w:spacing w:line="360" w:lineRule="auto"/>
        <w:ind w:firstLine="424" w:firstLineChars="202"/>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22.1.9. 分包人其它违约情况及处理方式在专用条款中说明。</w:t>
      </w:r>
    </w:p>
    <w:p>
      <w:pPr>
        <w:pStyle w:val="77"/>
        <w:ind w:firstLine="480"/>
        <w:rPr>
          <w:color w:val="000000" w:themeColor="text1"/>
          <w:highlight w:val="none"/>
          <w14:textFill>
            <w14:solidFill>
              <w14:schemeClr w14:val="tx1"/>
            </w14:solidFill>
          </w14:textFill>
        </w:rPr>
      </w:pPr>
      <w:bookmarkStart w:id="516" w:name="_Toc28321"/>
      <w:bookmarkStart w:id="517" w:name="_Toc27357"/>
      <w:bookmarkStart w:id="518" w:name="_Toc44492544"/>
      <w:r>
        <w:rPr>
          <w:rFonts w:hint="eastAsia"/>
          <w:color w:val="000000" w:themeColor="text1"/>
          <w:highlight w:val="none"/>
          <w14:textFill>
            <w14:solidFill>
              <w14:schemeClr w14:val="tx1"/>
            </w14:solidFill>
          </w14:textFill>
        </w:rPr>
        <w:t>22.2.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承包人违约</w:t>
      </w:r>
      <w:bookmarkEnd w:id="516"/>
      <w:bookmarkEnd w:id="517"/>
      <w:bookmarkEnd w:id="51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在履行合同过程中发生的下列情形，属承包人违约：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承包人未能按合同约定付款的；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专用条款约定属承包人违约的其他情形。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22.2.2.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承包人发生违约情况时，分包人可向承包人发出通知，要求承包人采取有效措施纠正违约行为。承包人收到分包人通知后的28天内仍不履行合同义务，分包人可向发包人及监理请求协助。</w:t>
      </w:r>
    </w:p>
    <w:p>
      <w:pPr>
        <w:pStyle w:val="77"/>
        <w:ind w:firstLine="480"/>
        <w:rPr>
          <w:color w:val="000000" w:themeColor="text1"/>
          <w:highlight w:val="none"/>
          <w14:textFill>
            <w14:solidFill>
              <w14:schemeClr w14:val="tx1"/>
            </w14:solidFill>
          </w14:textFill>
        </w:rPr>
      </w:pPr>
      <w:bookmarkStart w:id="519" w:name="_Toc19386"/>
      <w:bookmarkStart w:id="520" w:name="_Toc44492545"/>
      <w:bookmarkStart w:id="521" w:name="_Toc28541"/>
      <w:r>
        <w:rPr>
          <w:rFonts w:hint="eastAsia"/>
          <w:color w:val="000000" w:themeColor="text1"/>
          <w:highlight w:val="none"/>
          <w14:textFill>
            <w14:solidFill>
              <w14:schemeClr w14:val="tx1"/>
            </w14:solidFill>
          </w14:textFill>
        </w:rPr>
        <w:t>22.3.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第三人造成的违约</w:t>
      </w:r>
      <w:bookmarkEnd w:id="519"/>
      <w:bookmarkEnd w:id="520"/>
      <w:bookmarkEnd w:id="52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在履行合同过程中，一方当事人因第三人的原因造成违约的，应当向对方当事人承担违约责任。一方当事人和第三人之间的纠纷，依照法律规定或者按照约定解决。</w:t>
      </w:r>
    </w:p>
    <w:p>
      <w:pPr>
        <w:pStyle w:val="73"/>
        <w:rPr>
          <w:color w:val="000000" w:themeColor="text1"/>
          <w:highlight w:val="none"/>
          <w14:textFill>
            <w14:solidFill>
              <w14:schemeClr w14:val="tx1"/>
            </w14:solidFill>
          </w14:textFill>
        </w:rPr>
      </w:pPr>
      <w:bookmarkStart w:id="522" w:name="_Toc407356016"/>
      <w:bookmarkStart w:id="523" w:name="_Toc91082315"/>
      <w:bookmarkStart w:id="524" w:name="_Toc30164"/>
      <w:bookmarkStart w:id="525" w:name="_Toc44492546"/>
      <w:bookmarkStart w:id="526" w:name="_Toc44228004"/>
      <w:bookmarkStart w:id="527" w:name="_Toc9061"/>
      <w:bookmarkStart w:id="528" w:name="_Toc47512253"/>
      <w:r>
        <w:rPr>
          <w:rFonts w:hint="eastAsia"/>
          <w:color w:val="000000" w:themeColor="text1"/>
          <w:highlight w:val="none"/>
          <w14:textFill>
            <w14:solidFill>
              <w14:schemeClr w14:val="tx1"/>
            </w14:solidFill>
          </w14:textFill>
        </w:rPr>
        <w:t>23.</w:t>
      </w:r>
      <w:bookmarkEnd w:id="522"/>
      <w:bookmarkStart w:id="529" w:name="_Toc407356017"/>
      <w:r>
        <w:rPr>
          <w:rFonts w:hint="eastAsia"/>
          <w:color w:val="000000" w:themeColor="text1"/>
          <w:highlight w:val="none"/>
          <w14:textFill>
            <w14:solidFill>
              <w14:schemeClr w14:val="tx1"/>
            </w14:solidFill>
          </w14:textFill>
        </w:rPr>
        <w:t>争议的解决</w:t>
      </w:r>
      <w:bookmarkEnd w:id="523"/>
      <w:bookmarkEnd w:id="524"/>
      <w:bookmarkEnd w:id="525"/>
      <w:bookmarkEnd w:id="526"/>
      <w:bookmarkEnd w:id="527"/>
      <w:bookmarkEnd w:id="528"/>
      <w:bookmarkEnd w:id="529"/>
    </w:p>
    <w:p>
      <w:pPr>
        <w:pStyle w:val="77"/>
        <w:ind w:firstLine="480"/>
        <w:rPr>
          <w:color w:val="000000" w:themeColor="text1"/>
          <w:highlight w:val="none"/>
          <w14:textFill>
            <w14:solidFill>
              <w14:schemeClr w14:val="tx1"/>
            </w14:solidFill>
          </w14:textFill>
        </w:rPr>
      </w:pPr>
      <w:bookmarkStart w:id="530" w:name="_Toc44492547"/>
      <w:bookmarkStart w:id="531" w:name="_Toc54"/>
      <w:bookmarkStart w:id="532" w:name="_Toc14938"/>
      <w:r>
        <w:rPr>
          <w:rFonts w:hint="eastAsia"/>
          <w:color w:val="000000" w:themeColor="text1"/>
          <w:highlight w:val="none"/>
          <w14:textFill>
            <w14:solidFill>
              <w14:schemeClr w14:val="tx1"/>
            </w14:solidFill>
          </w14:textFill>
        </w:rPr>
        <w:t>23.1.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争议的解决方式</w:t>
      </w:r>
      <w:bookmarkEnd w:id="530"/>
      <w:bookmarkEnd w:id="531"/>
      <w:bookmarkEnd w:id="53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23.1.1.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合同当事人双方在履行合同时发生争议，双方应友好协商，可以采取和解或者要求有关主管部门调解。当事人不愿和解、调解或者和解、调解不成的，采取向承包人住所地的人民法院提起诉讼的方式解决。</w:t>
      </w:r>
    </w:p>
    <w:p>
      <w:pPr>
        <w:pStyle w:val="77"/>
        <w:ind w:firstLine="480"/>
        <w:rPr>
          <w:color w:val="000000" w:themeColor="text1"/>
          <w:highlight w:val="none"/>
          <w14:textFill>
            <w14:solidFill>
              <w14:schemeClr w14:val="tx1"/>
            </w14:solidFill>
          </w14:textFill>
        </w:rPr>
      </w:pPr>
      <w:bookmarkStart w:id="533" w:name="_Toc44492548"/>
      <w:bookmarkStart w:id="534" w:name="_Toc27034"/>
      <w:bookmarkStart w:id="535" w:name="_Toc27705"/>
      <w:r>
        <w:rPr>
          <w:rFonts w:hint="eastAsia"/>
          <w:color w:val="000000" w:themeColor="text1"/>
          <w:highlight w:val="none"/>
          <w14:textFill>
            <w14:solidFill>
              <w14:schemeClr w14:val="tx1"/>
            </w14:solidFill>
          </w14:textFill>
        </w:rPr>
        <w:t>23.2.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争议的解决</w:t>
      </w:r>
      <w:bookmarkEnd w:id="533"/>
      <w:bookmarkEnd w:id="534"/>
      <w:bookmarkEnd w:id="53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23.2.1.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发生争议后，除非出现下列情况的，合同当事人双方都应继续履行合同，分包人保持施工连续，保护好已完工程：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 调解要求停止施工，且为合同当事人双方接受；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 法院要求停止施工。</w:t>
      </w:r>
    </w:p>
    <w:bookmarkEnd w:id="55"/>
    <w:p>
      <w:pPr>
        <w:pStyle w:val="52"/>
        <w:ind w:firstLine="420"/>
        <w:rPr>
          <w:color w:val="000000" w:themeColor="text1"/>
          <w:highlight w:val="none"/>
          <w14:textFill>
            <w14:solidFill>
              <w14:schemeClr w14:val="tx1"/>
            </w14:solidFill>
          </w14:textFill>
        </w:rPr>
      </w:pPr>
    </w:p>
    <w:p>
      <w:pPr>
        <w:pStyle w:val="68"/>
        <w:rPr>
          <w:color w:val="000000" w:themeColor="text1"/>
          <w:highlight w:val="none"/>
          <w14:textFill>
            <w14:solidFill>
              <w14:schemeClr w14:val="tx1"/>
            </w14:solidFill>
          </w14:textFill>
        </w:rPr>
      </w:pPr>
      <w:bookmarkStart w:id="536" w:name="_Toc402450458"/>
      <w:r>
        <w:rPr>
          <w:color w:val="000000" w:themeColor="text1"/>
          <w:highlight w:val="none"/>
          <w14:textFill>
            <w14:solidFill>
              <w14:schemeClr w14:val="tx1"/>
            </w14:solidFill>
          </w14:textFill>
        </w:rPr>
        <w:br w:type="page"/>
      </w:r>
      <w:bookmarkStart w:id="537" w:name="_Toc6932"/>
      <w:bookmarkStart w:id="538" w:name="_Toc22266"/>
      <w:bookmarkStart w:id="539" w:name="_Toc31994"/>
      <w:bookmarkStart w:id="540" w:name="_Toc40186511"/>
      <w:bookmarkStart w:id="541" w:name="_Toc44492549"/>
      <w:bookmarkStart w:id="542" w:name="_Toc118446907"/>
      <w:bookmarkStart w:id="543" w:name="_Toc44227950"/>
      <w:r>
        <w:rPr>
          <w:rFonts w:hint="eastAsia"/>
          <w:color w:val="000000" w:themeColor="text1"/>
          <w:highlight w:val="none"/>
          <w14:textFill>
            <w14:solidFill>
              <w14:schemeClr w14:val="tx1"/>
            </w14:solidFill>
          </w14:textFill>
        </w:rPr>
        <w:t>第三部分 专用条款</w:t>
      </w:r>
      <w:bookmarkEnd w:id="536"/>
      <w:bookmarkEnd w:id="537"/>
      <w:bookmarkEnd w:id="538"/>
      <w:bookmarkEnd w:id="539"/>
      <w:bookmarkEnd w:id="540"/>
      <w:bookmarkEnd w:id="541"/>
      <w:bookmarkEnd w:id="542"/>
      <w:bookmarkEnd w:id="543"/>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bookmarkStart w:id="544" w:name="_Toc402450459"/>
      <w:r>
        <w:rPr>
          <w:rFonts w:ascii="仿宋" w:hAnsi="仿宋" w:eastAsia="仿宋"/>
          <w:b w:val="0"/>
          <w:color w:val="000000" w:themeColor="text1"/>
          <w:sz w:val="24"/>
          <w:szCs w:val="24"/>
          <w:highlight w:val="none"/>
          <w14:textFill>
            <w14:solidFill>
              <w14:schemeClr w14:val="tx1"/>
            </w14:solidFill>
          </w14:textFill>
        </w:rPr>
        <w:fldChar w:fldCharType="begin"/>
      </w:r>
      <w:r>
        <w:rPr>
          <w:rFonts w:ascii="仿宋" w:hAnsi="仿宋" w:eastAsia="仿宋"/>
          <w:b w:val="0"/>
          <w:color w:val="000000" w:themeColor="text1"/>
          <w:sz w:val="24"/>
          <w:szCs w:val="24"/>
          <w:highlight w:val="none"/>
          <w14:textFill>
            <w14:solidFill>
              <w14:schemeClr w14:val="tx1"/>
            </w14:solidFill>
          </w14:textFill>
        </w:rPr>
        <w:instrText xml:space="preserve"> </w:instrText>
      </w:r>
      <w:r>
        <w:rPr>
          <w:rFonts w:hint="eastAsia" w:ascii="仿宋" w:hAnsi="仿宋" w:eastAsia="仿宋"/>
          <w:b w:val="0"/>
          <w:color w:val="000000" w:themeColor="text1"/>
          <w:sz w:val="24"/>
          <w:szCs w:val="24"/>
          <w:highlight w:val="none"/>
          <w14:textFill>
            <w14:solidFill>
              <w14:schemeClr w14:val="tx1"/>
            </w14:solidFill>
          </w14:textFill>
        </w:rPr>
        <w:instrText xml:space="preserve">TOC \b p3 \o "1-2" \h \z \u</w:instrText>
      </w:r>
      <w:r>
        <w:rPr>
          <w:rFonts w:ascii="仿宋" w:hAnsi="仿宋" w:eastAsia="仿宋"/>
          <w:b w:val="0"/>
          <w:color w:val="000000" w:themeColor="text1"/>
          <w:sz w:val="24"/>
          <w:szCs w:val="24"/>
          <w:highlight w:val="none"/>
          <w14:textFill>
            <w14:solidFill>
              <w14:schemeClr w14:val="tx1"/>
            </w14:solidFill>
          </w14:textFill>
        </w:rPr>
        <w:instrText xml:space="preserve"> </w:instrText>
      </w:r>
      <w:r>
        <w:rPr>
          <w:rFonts w:ascii="仿宋" w:hAnsi="仿宋" w:eastAsia="仿宋"/>
          <w:b w:val="0"/>
          <w:color w:val="000000" w:themeColor="text1"/>
          <w:sz w:val="24"/>
          <w:szCs w:val="24"/>
          <w:highlight w:val="none"/>
          <w14:textFill>
            <w14:solidFill>
              <w14:schemeClr w14:val="tx1"/>
            </w14:solidFill>
          </w14:textFill>
        </w:rPr>
        <w:fldChar w:fldCharType="separate"/>
      </w: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w:t>
      </w:r>
      <w:r>
        <w:rPr>
          <w:rStyle w:val="44"/>
          <w:rFonts w:hint="eastAsia"/>
          <w:b w:val="0"/>
          <w:color w:val="000000" w:themeColor="text1"/>
          <w:sz w:val="24"/>
          <w:szCs w:val="24"/>
          <w:highlight w:val="none"/>
          <w14:textFill>
            <w14:solidFill>
              <w14:schemeClr w14:val="tx1"/>
            </w14:solidFill>
          </w14:textFill>
        </w:rPr>
        <w:t>一般约定</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51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w:t>
      </w:r>
      <w:r>
        <w:rPr>
          <w:rStyle w:val="44"/>
          <w:rFonts w:hint="eastAsia"/>
          <w:b w:val="0"/>
          <w:color w:val="000000" w:themeColor="text1"/>
          <w:sz w:val="24"/>
          <w:szCs w:val="24"/>
          <w:highlight w:val="none"/>
          <w14:textFill>
            <w14:solidFill>
              <w14:schemeClr w14:val="tx1"/>
            </w14:solidFill>
          </w14:textFill>
        </w:rPr>
        <w:t>承包人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53</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3.</w:t>
      </w:r>
      <w:r>
        <w:rPr>
          <w:rStyle w:val="44"/>
          <w:rFonts w:hint="eastAsia"/>
          <w:b w:val="0"/>
          <w:color w:val="000000" w:themeColor="text1"/>
          <w:sz w:val="24"/>
          <w:szCs w:val="24"/>
          <w:highlight w:val="none"/>
          <w14:textFill>
            <w14:solidFill>
              <w14:schemeClr w14:val="tx1"/>
            </w14:solidFill>
          </w14:textFill>
        </w:rPr>
        <w:t>监理人及造价咨询人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55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4.</w:t>
      </w:r>
      <w:r>
        <w:rPr>
          <w:rStyle w:val="44"/>
          <w:rFonts w:hint="eastAsia"/>
          <w:b w:val="0"/>
          <w:color w:val="000000" w:themeColor="text1"/>
          <w:sz w:val="24"/>
          <w:szCs w:val="24"/>
          <w:highlight w:val="none"/>
          <w14:textFill>
            <w14:solidFill>
              <w14:schemeClr w14:val="tx1"/>
            </w14:solidFill>
          </w14:textFill>
        </w:rPr>
        <w:t>分包人</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55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5.</w:t>
      </w:r>
      <w:r>
        <w:rPr>
          <w:rStyle w:val="44"/>
          <w:rFonts w:hint="eastAsia"/>
          <w:b w:val="0"/>
          <w:color w:val="000000" w:themeColor="text1"/>
          <w:sz w:val="24"/>
          <w:szCs w:val="24"/>
          <w:highlight w:val="none"/>
          <w14:textFill>
            <w14:solidFill>
              <w14:schemeClr w14:val="tx1"/>
            </w14:solidFill>
          </w14:textFill>
        </w:rPr>
        <w:t>材料和工程设备</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62</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"_Toc91082439"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6.</w:t>
      </w:r>
      <w:r>
        <w:rPr>
          <w:rStyle w:val="44"/>
          <w:rFonts w:hint="eastAsia"/>
          <w:b w:val="0"/>
          <w:color w:val="000000" w:themeColor="text1"/>
          <w:sz w:val="24"/>
          <w:szCs w:val="24"/>
          <w:highlight w:val="none"/>
          <w14:textFill>
            <w14:solidFill>
              <w14:schemeClr w14:val="tx1"/>
            </w14:solidFill>
          </w14:textFill>
        </w:rPr>
        <w:t>施工设备和临时设施</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_Toc91082439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66</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"_Toc91082440"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7.</w:t>
      </w:r>
      <w:r>
        <w:rPr>
          <w:rStyle w:val="44"/>
          <w:rFonts w:hint="eastAsia"/>
          <w:b w:val="0"/>
          <w:color w:val="000000" w:themeColor="text1"/>
          <w:sz w:val="24"/>
          <w:szCs w:val="24"/>
          <w:highlight w:val="none"/>
          <w14:textFill>
            <w14:solidFill>
              <w14:schemeClr w14:val="tx1"/>
            </w14:solidFill>
          </w14:textFill>
        </w:rPr>
        <w:t>交通运输</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_Toc91082440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66</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"_Toc91082441"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8.</w:t>
      </w:r>
      <w:r>
        <w:rPr>
          <w:rStyle w:val="44"/>
          <w:rFonts w:hint="eastAsia"/>
          <w:b w:val="0"/>
          <w:color w:val="000000" w:themeColor="text1"/>
          <w:sz w:val="24"/>
          <w:szCs w:val="24"/>
          <w:highlight w:val="none"/>
          <w14:textFill>
            <w14:solidFill>
              <w14:schemeClr w14:val="tx1"/>
            </w14:solidFill>
          </w14:textFill>
        </w:rPr>
        <w:t>测量放线</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_Toc91082441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"_Toc91082442"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9.</w:t>
      </w:r>
      <w:r>
        <w:rPr>
          <w:rStyle w:val="44"/>
          <w:rFonts w:hint="eastAsia"/>
          <w:b w:val="0"/>
          <w:color w:val="000000" w:themeColor="text1"/>
          <w:sz w:val="24"/>
          <w:szCs w:val="24"/>
          <w:highlight w:val="none"/>
          <w14:textFill>
            <w14:solidFill>
              <w14:schemeClr w14:val="tx1"/>
            </w14:solidFill>
          </w14:textFill>
        </w:rPr>
        <w:t>施工安全、治安保卫和环境保护</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_Toc91082442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67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10.</w:t>
      </w:r>
      <w:r>
        <w:rPr>
          <w:rStyle w:val="44"/>
          <w:rFonts w:hint="eastAsia"/>
          <w:b w:val="0"/>
          <w:color w:val="000000" w:themeColor="text1"/>
          <w:sz w:val="24"/>
          <w:szCs w:val="24"/>
          <w:highlight w:val="none"/>
          <w14:textFill>
            <w14:solidFill>
              <w14:schemeClr w14:val="tx1"/>
            </w14:solidFill>
          </w14:textFill>
        </w:rPr>
        <w:t>进度计划</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11.</w:t>
      </w:r>
      <w:r>
        <w:rPr>
          <w:rStyle w:val="44"/>
          <w:rFonts w:hint="eastAsia"/>
          <w:b w:val="0"/>
          <w:color w:val="000000" w:themeColor="text1"/>
          <w:sz w:val="24"/>
          <w:szCs w:val="24"/>
          <w:highlight w:val="none"/>
          <w14:textFill>
            <w14:solidFill>
              <w14:schemeClr w14:val="tx1"/>
            </w14:solidFill>
          </w14:textFill>
        </w:rPr>
        <w:t>开工和竣工</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12.</w:t>
      </w:r>
      <w:r>
        <w:rPr>
          <w:rStyle w:val="44"/>
          <w:rFonts w:hint="eastAsia"/>
          <w:b w:val="0"/>
          <w:color w:val="000000" w:themeColor="text1"/>
          <w:sz w:val="24"/>
          <w:szCs w:val="24"/>
          <w:highlight w:val="none"/>
          <w14:textFill>
            <w14:solidFill>
              <w14:schemeClr w14:val="tx1"/>
            </w14:solidFill>
          </w14:textFill>
        </w:rPr>
        <w:t>暂停施工</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13.</w:t>
      </w:r>
      <w:r>
        <w:rPr>
          <w:rStyle w:val="44"/>
          <w:rFonts w:hint="eastAsia"/>
          <w:b w:val="0"/>
          <w:color w:val="000000" w:themeColor="text1"/>
          <w:sz w:val="24"/>
          <w:szCs w:val="24"/>
          <w:highlight w:val="none"/>
          <w14:textFill>
            <w14:solidFill>
              <w14:schemeClr w14:val="tx1"/>
            </w14:solidFill>
          </w14:textFill>
        </w:rPr>
        <w:t>工程质量</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14.</w:t>
      </w:r>
      <w:r>
        <w:rPr>
          <w:rStyle w:val="44"/>
          <w:rFonts w:hint="eastAsia"/>
          <w:b w:val="0"/>
          <w:color w:val="000000" w:themeColor="text1"/>
          <w:sz w:val="24"/>
          <w:szCs w:val="24"/>
          <w:highlight w:val="none"/>
          <w14:textFill>
            <w14:solidFill>
              <w14:schemeClr w14:val="tx1"/>
            </w14:solidFill>
          </w14:textFill>
        </w:rPr>
        <w:t>试验和检验</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79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"_Toc91082448"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15.</w:t>
      </w:r>
      <w:r>
        <w:rPr>
          <w:rStyle w:val="44"/>
          <w:rFonts w:hint="eastAsia"/>
          <w:b w:val="0"/>
          <w:color w:val="000000" w:themeColor="text1"/>
          <w:sz w:val="24"/>
          <w:szCs w:val="24"/>
          <w:highlight w:val="none"/>
          <w14:textFill>
            <w14:solidFill>
              <w14:schemeClr w14:val="tx1"/>
            </w14:solidFill>
          </w14:textFill>
        </w:rPr>
        <w:t>变更</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_Toc91082448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80</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"_Toc91082450"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16.</w:t>
      </w:r>
      <w:r>
        <w:rPr>
          <w:rStyle w:val="44"/>
          <w:rFonts w:hint="eastAsia"/>
          <w:b w:val="0"/>
          <w:color w:val="000000" w:themeColor="text1"/>
          <w:sz w:val="24"/>
          <w:szCs w:val="24"/>
          <w:highlight w:val="none"/>
          <w14:textFill>
            <w14:solidFill>
              <w14:schemeClr w14:val="tx1"/>
            </w14:solidFill>
          </w14:textFill>
        </w:rPr>
        <w:t>价格调整</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_Toc91082450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85</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"_Toc91082451"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17.</w:t>
      </w:r>
      <w:r>
        <w:rPr>
          <w:rStyle w:val="44"/>
          <w:rFonts w:hint="eastAsia"/>
          <w:b w:val="0"/>
          <w:color w:val="000000" w:themeColor="text1"/>
          <w:sz w:val="24"/>
          <w:szCs w:val="24"/>
          <w:highlight w:val="none"/>
          <w14:textFill>
            <w14:solidFill>
              <w14:schemeClr w14:val="tx1"/>
            </w14:solidFill>
          </w14:textFill>
        </w:rPr>
        <w:t>计量与支付</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_Toc91082451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89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"_Toc91082452"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18.</w:t>
      </w:r>
      <w:r>
        <w:rPr>
          <w:rStyle w:val="44"/>
          <w:rFonts w:hint="eastAsia"/>
          <w:b w:val="0"/>
          <w:color w:val="000000" w:themeColor="text1"/>
          <w:sz w:val="24"/>
          <w:szCs w:val="24"/>
          <w:highlight w:val="none"/>
          <w14:textFill>
            <w14:solidFill>
              <w14:schemeClr w14:val="tx1"/>
            </w14:solidFill>
          </w14:textFill>
        </w:rPr>
        <w:t>竣工验收</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_Toc91082452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97</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"_Toc91082453"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19.</w:t>
      </w:r>
      <w:r>
        <w:rPr>
          <w:rStyle w:val="44"/>
          <w:rFonts w:hint="eastAsia"/>
          <w:b w:val="0"/>
          <w:color w:val="000000" w:themeColor="text1"/>
          <w:sz w:val="24"/>
          <w:szCs w:val="24"/>
          <w:highlight w:val="none"/>
          <w14:textFill>
            <w14:solidFill>
              <w14:schemeClr w14:val="tx1"/>
            </w14:solidFill>
          </w14:textFill>
        </w:rPr>
        <w:t>缺陷责任与保修</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_Toc91082453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99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"_Toc91082454"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20.</w:t>
      </w:r>
      <w:r>
        <w:rPr>
          <w:rStyle w:val="44"/>
          <w:rFonts w:hint="eastAsia"/>
          <w:b w:val="0"/>
          <w:color w:val="000000" w:themeColor="text1"/>
          <w:sz w:val="24"/>
          <w:szCs w:val="24"/>
          <w:highlight w:val="none"/>
          <w14:textFill>
            <w14:solidFill>
              <w14:schemeClr w14:val="tx1"/>
            </w14:solidFill>
          </w14:textFill>
        </w:rPr>
        <w:t>保险</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_Toc91082454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99</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"_Toc91082455"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21.</w:t>
      </w:r>
      <w:r>
        <w:rPr>
          <w:rStyle w:val="44"/>
          <w:rFonts w:hint="eastAsia"/>
          <w:b w:val="0"/>
          <w:color w:val="000000" w:themeColor="text1"/>
          <w:sz w:val="24"/>
          <w:szCs w:val="24"/>
          <w:highlight w:val="none"/>
          <w14:textFill>
            <w14:solidFill>
              <w14:schemeClr w14:val="tx1"/>
            </w14:solidFill>
          </w14:textFill>
        </w:rPr>
        <w:t>不可抗力</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_Toc91082455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101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"_Toc91082456"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22.</w:t>
      </w:r>
      <w:r>
        <w:rPr>
          <w:rStyle w:val="44"/>
          <w:rFonts w:hint="eastAsia"/>
          <w:b w:val="0"/>
          <w:color w:val="000000" w:themeColor="text1"/>
          <w:sz w:val="24"/>
          <w:szCs w:val="24"/>
          <w:highlight w:val="none"/>
          <w14:textFill>
            <w14:solidFill>
              <w14:schemeClr w14:val="tx1"/>
            </w14:solidFill>
          </w14:textFill>
        </w:rPr>
        <w:t>违约</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_Toc91082456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101</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left" w:pos="2100"/>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"_Toc91082457"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23.</w:t>
      </w:r>
      <w:r>
        <w:rPr>
          <w:rStyle w:val="44"/>
          <w:rFonts w:hint="eastAsia"/>
          <w:b w:val="0"/>
          <w:color w:val="000000" w:themeColor="text1"/>
          <w:sz w:val="24"/>
          <w:szCs w:val="24"/>
          <w:highlight w:val="none"/>
          <w14:textFill>
            <w14:solidFill>
              <w14:schemeClr w14:val="tx1"/>
            </w14:solidFill>
          </w14:textFill>
        </w:rPr>
        <w:t>争议的解决</w:t>
      </w:r>
      <w:r>
        <w:rPr>
          <w:rStyle w:val="44"/>
          <w:b w:val="0"/>
          <w:color w:val="000000" w:themeColor="text1"/>
          <w:sz w:val="24"/>
          <w:szCs w:val="24"/>
          <w:highlight w:val="none"/>
          <w14:textFill>
            <w14:solidFill>
              <w14:schemeClr w14:val="tx1"/>
            </w14:solidFill>
          </w14:textFill>
        </w:rPr>
        <w:t>………</w:t>
      </w:r>
      <w:r>
        <w:rPr>
          <w:rStyle w:val="44"/>
          <w:rFonts w:hint="eastAsia"/>
          <w:b w:val="0"/>
          <w:color w:val="000000" w:themeColor="text1"/>
          <w:sz w:val="24"/>
          <w:szCs w:val="24"/>
          <w:highlight w:val="none"/>
          <w14:textFill>
            <w14:solidFill>
              <w14:schemeClr w14:val="tx1"/>
            </w14:solidFill>
          </w14:textFill>
        </w:rPr>
        <w:t>.</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_Toc91082457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108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32"/>
        <w:tabs>
          <w:tab w:val="right" w:leader="dot" w:pos="8494"/>
        </w:tabs>
        <w:spacing w:line="360" w:lineRule="auto"/>
        <w:ind w:left="0" w:leftChars="0"/>
        <w:rPr>
          <w:rFonts w:asciiTheme="minorHAnsi" w:hAnsiTheme="minorHAnsi" w:eastAsiaTheme="minorEastAsia" w:cstheme="minorBidi"/>
          <w:b w:val="0"/>
          <w:color w:val="000000" w:themeColor="text1"/>
          <w:sz w:val="24"/>
          <w:szCs w:val="24"/>
          <w:highlight w:val="none"/>
          <w14:textFill>
            <w14:solidFill>
              <w14:schemeClr w14:val="tx1"/>
            </w14:solidFill>
          </w14:textFill>
        </w:rPr>
      </w:pPr>
      <w:r>
        <w:rPr>
          <w:color w:val="000000" w:themeColor="text1"/>
          <w:highlight w:val="none"/>
          <w14:textFill>
            <w14:solidFill>
              <w14:schemeClr w14:val="tx1"/>
            </w14:solidFill>
          </w14:textFill>
        </w:rPr>
        <w:fldChar w:fldCharType="begin"/>
      </w:r>
      <w:r>
        <w:rPr>
          <w:color w:val="000000" w:themeColor="text1"/>
          <w:highlight w:val="none"/>
          <w14:textFill>
            <w14:solidFill>
              <w14:schemeClr w14:val="tx1"/>
            </w14:solidFill>
          </w14:textFill>
        </w:rPr>
        <w:instrText xml:space="preserve"> HYPERLINK \l "_Toc91082458" </w:instrText>
      </w:r>
      <w:r>
        <w:rPr>
          <w:color w:val="000000" w:themeColor="text1"/>
          <w:highlight w:val="none"/>
          <w14:textFill>
            <w14:solidFill>
              <w14:schemeClr w14:val="tx1"/>
            </w14:solidFill>
          </w14:textFill>
        </w:rPr>
        <w:fldChar w:fldCharType="separate"/>
      </w:r>
      <w:r>
        <w:rPr>
          <w:rStyle w:val="44"/>
          <w:b w:val="0"/>
          <w:color w:val="000000" w:themeColor="text1"/>
          <w:sz w:val="24"/>
          <w:szCs w:val="24"/>
          <w:highlight w:val="none"/>
          <w14:textFill>
            <w14:solidFill>
              <w14:schemeClr w14:val="tx1"/>
            </w14:solidFill>
          </w14:textFill>
        </w:rPr>
        <w:t>24.</w:t>
      </w:r>
      <w:r>
        <w:rPr>
          <w:rStyle w:val="44"/>
          <w:rFonts w:hint="eastAsia"/>
          <w:b w:val="0"/>
          <w:color w:val="000000" w:themeColor="text1"/>
          <w:sz w:val="24"/>
          <w:szCs w:val="24"/>
          <w:highlight w:val="none"/>
          <w14:textFill>
            <w14:solidFill>
              <w14:schemeClr w14:val="tx1"/>
            </w14:solidFill>
          </w14:textFill>
        </w:rPr>
        <w:t>合同的解除</w:t>
      </w:r>
      <w:r>
        <w:rPr>
          <w:b w:val="0"/>
          <w:color w:val="000000" w:themeColor="text1"/>
          <w:sz w:val="24"/>
          <w:szCs w:val="24"/>
          <w:highlight w:val="none"/>
          <w14:textFill>
            <w14:solidFill>
              <w14:schemeClr w14:val="tx1"/>
            </w14:solidFill>
          </w14:textFill>
        </w:rPr>
        <w:tab/>
      </w:r>
      <w:r>
        <w:rPr>
          <w:b w:val="0"/>
          <w:color w:val="000000" w:themeColor="text1"/>
          <w:sz w:val="24"/>
          <w:szCs w:val="24"/>
          <w:highlight w:val="none"/>
          <w14:textFill>
            <w14:solidFill>
              <w14:schemeClr w14:val="tx1"/>
            </w14:solidFill>
          </w14:textFill>
        </w:rPr>
        <w:fldChar w:fldCharType="begin"/>
      </w:r>
      <w:r>
        <w:rPr>
          <w:b w:val="0"/>
          <w:color w:val="000000" w:themeColor="text1"/>
          <w:sz w:val="24"/>
          <w:szCs w:val="24"/>
          <w:highlight w:val="none"/>
          <w14:textFill>
            <w14:solidFill>
              <w14:schemeClr w14:val="tx1"/>
            </w14:solidFill>
          </w14:textFill>
        </w:rPr>
        <w:instrText xml:space="preserve"> PAGEREF _Toc91082458 \h </w:instrText>
      </w:r>
      <w:r>
        <w:rPr>
          <w:b w:val="0"/>
          <w:color w:val="000000" w:themeColor="text1"/>
          <w:sz w:val="24"/>
          <w:szCs w:val="24"/>
          <w:highlight w:val="none"/>
          <w14:textFill>
            <w14:solidFill>
              <w14:schemeClr w14:val="tx1"/>
            </w14:solidFill>
          </w14:textFill>
        </w:rPr>
        <w:fldChar w:fldCharType="separate"/>
      </w:r>
      <w:r>
        <w:rPr>
          <w:b w:val="0"/>
          <w:color w:val="000000" w:themeColor="text1"/>
          <w:sz w:val="24"/>
          <w:szCs w:val="24"/>
          <w:highlight w:val="none"/>
          <w14:textFill>
            <w14:solidFill>
              <w14:schemeClr w14:val="tx1"/>
            </w14:solidFill>
          </w14:textFill>
        </w:rPr>
        <w:t>108</w:t>
      </w:r>
      <w:r>
        <w:rPr>
          <w:b w:val="0"/>
          <w:color w:val="000000" w:themeColor="text1"/>
          <w:sz w:val="24"/>
          <w:szCs w:val="24"/>
          <w:highlight w:val="none"/>
          <w14:textFill>
            <w14:solidFill>
              <w14:schemeClr w14:val="tx1"/>
            </w14:solidFill>
          </w14:textFill>
        </w:rPr>
        <w:fldChar w:fldCharType="end"/>
      </w:r>
      <w:r>
        <w:rPr>
          <w:b w:val="0"/>
          <w:color w:val="000000" w:themeColor="text1"/>
          <w:sz w:val="24"/>
          <w:szCs w:val="24"/>
          <w:highlight w:val="none"/>
          <w14:textFill>
            <w14:solidFill>
              <w14:schemeClr w14:val="tx1"/>
            </w14:solidFill>
          </w14:textFill>
        </w:rPr>
        <w:fldChar w:fldCharType="end"/>
      </w:r>
    </w:p>
    <w:p>
      <w:pPr>
        <w:pStyle w:val="52"/>
        <w:ind w:firstLine="0" w:firstLineChars="0"/>
        <w:rPr>
          <w:rFonts w:ascii="仿宋" w:hAnsi="仿宋" w:eastAsia="仿宋"/>
          <w:color w:val="000000" w:themeColor="text1"/>
          <w:sz w:val="28"/>
          <w:szCs w:val="28"/>
          <w:highlight w:val="none"/>
          <w14:textFill>
            <w14:solidFill>
              <w14:schemeClr w14:val="tx1"/>
            </w14:solidFill>
          </w14:textFill>
        </w:rPr>
      </w:pPr>
      <w:r>
        <w:rPr>
          <w:rFonts w:ascii="仿宋" w:hAnsi="仿宋" w:eastAsia="仿宋"/>
          <w:color w:val="000000" w:themeColor="text1"/>
          <w:sz w:val="24"/>
          <w:szCs w:val="24"/>
          <w:highlight w:val="none"/>
          <w14:textFill>
            <w14:solidFill>
              <w14:schemeClr w14:val="tx1"/>
            </w14:solidFill>
          </w14:textFill>
        </w:rPr>
        <w:fldChar w:fldCharType="end"/>
      </w:r>
    </w:p>
    <w:p>
      <w:pPr>
        <w:pStyle w:val="52"/>
        <w:spacing w:line="440" w:lineRule="exact"/>
        <w:ind w:firstLine="0" w:firstLineChars="0"/>
        <w:rPr>
          <w:rFonts w:eastAsia="黑体"/>
          <w:bCs/>
          <w:color w:val="000000" w:themeColor="text1"/>
          <w:sz w:val="30"/>
          <w:highlight w:val="none"/>
          <w14:textFill>
            <w14:solidFill>
              <w14:schemeClr w14:val="tx1"/>
            </w14:solidFill>
          </w14:textFill>
        </w:rPr>
      </w:pPr>
      <w:r>
        <w:rPr>
          <w:rFonts w:ascii="仿宋" w:hAnsi="仿宋" w:eastAsia="仿宋"/>
          <w:color w:val="000000" w:themeColor="text1"/>
          <w:sz w:val="28"/>
          <w:szCs w:val="28"/>
          <w:highlight w:val="none"/>
          <w14:textFill>
            <w14:solidFill>
              <w14:schemeClr w14:val="tx1"/>
            </w14:solidFill>
          </w14:textFill>
        </w:rPr>
        <w:br w:type="page"/>
      </w:r>
    </w:p>
    <w:p>
      <w:pPr>
        <w:pStyle w:val="73"/>
        <w:rPr>
          <w:color w:val="000000" w:themeColor="text1"/>
          <w:highlight w:val="none"/>
          <w14:textFill>
            <w14:solidFill>
              <w14:schemeClr w14:val="tx1"/>
            </w14:solidFill>
          </w14:textFill>
        </w:rPr>
      </w:pPr>
      <w:bookmarkStart w:id="545" w:name="_Toc10189"/>
      <w:bookmarkStart w:id="546" w:name="_Toc23052"/>
      <w:bookmarkStart w:id="547" w:name="_Toc38987270"/>
      <w:bookmarkStart w:id="548" w:name="_Toc44492550"/>
      <w:bookmarkStart w:id="549" w:name="_Toc44228153"/>
      <w:bookmarkStart w:id="550" w:name="_Toc26596"/>
      <w:bookmarkStart w:id="551" w:name="_Toc91082434"/>
      <w:bookmarkStart w:id="552" w:name="p3"/>
      <w:r>
        <w:rPr>
          <w:rFonts w:hint="eastAsia"/>
          <w:color w:val="000000" w:themeColor="text1"/>
          <w:highlight w:val="none"/>
          <w14:textFill>
            <w14:solidFill>
              <w14:schemeClr w14:val="tx1"/>
            </w14:solidFill>
          </w14:textFill>
        </w:rPr>
        <w:t>1.一般约定</w:t>
      </w:r>
      <w:bookmarkEnd w:id="544"/>
      <w:bookmarkEnd w:id="545"/>
      <w:bookmarkEnd w:id="546"/>
      <w:bookmarkEnd w:id="547"/>
      <w:bookmarkEnd w:id="548"/>
      <w:bookmarkEnd w:id="549"/>
      <w:bookmarkEnd w:id="550"/>
      <w:bookmarkEnd w:id="551"/>
    </w:p>
    <w:p>
      <w:pPr>
        <w:pStyle w:val="77"/>
        <w:ind w:firstLine="420"/>
        <w:rPr>
          <w:rFonts w:eastAsia="仿宋_GB2312"/>
          <w:color w:val="000000" w:themeColor="text1"/>
          <w:kern w:val="0"/>
          <w:sz w:val="21"/>
          <w:highlight w:val="none"/>
          <w14:textFill>
            <w14:solidFill>
              <w14:schemeClr w14:val="tx1"/>
            </w14:solidFill>
          </w14:textFill>
        </w:rPr>
      </w:pPr>
      <w:bookmarkStart w:id="553" w:name="_Toc16615"/>
      <w:bookmarkStart w:id="554" w:name="_Toc44492551"/>
      <w:bookmarkStart w:id="555" w:name="_Toc27074"/>
      <w:r>
        <w:rPr>
          <w:rFonts w:eastAsia="仿宋_GB2312"/>
          <w:color w:val="000000" w:themeColor="text1"/>
          <w:kern w:val="0"/>
          <w:sz w:val="21"/>
          <w:highlight w:val="none"/>
          <w14:textFill>
            <w14:solidFill>
              <w14:schemeClr w14:val="tx1"/>
            </w14:solidFill>
          </w14:textFill>
        </w:rPr>
        <w:t>1.1.6</w:t>
      </w:r>
      <w:r>
        <w:rPr>
          <w:rFonts w:hint="eastAsia" w:eastAsia="仿宋_GB2312"/>
          <w:color w:val="000000" w:themeColor="text1"/>
          <w:kern w:val="0"/>
          <w:sz w:val="21"/>
          <w:highlight w:val="none"/>
          <w14:textFill>
            <w14:solidFill>
              <w14:schemeClr w14:val="tx1"/>
            </w14:solidFill>
          </w14:textFill>
        </w:rPr>
        <w:t>现金支付：指采用支票或银行转账等无账期的支付方式。</w:t>
      </w:r>
    </w:p>
    <w:p>
      <w:pPr>
        <w:pStyle w:val="77"/>
        <w:ind w:firstLine="420"/>
        <w:rPr>
          <w:rFonts w:eastAsia="仿宋_GB2312"/>
          <w:color w:val="000000" w:themeColor="text1"/>
          <w:kern w:val="0"/>
          <w:sz w:val="21"/>
          <w:highlight w:val="none"/>
          <w14:textFill>
            <w14:solidFill>
              <w14:schemeClr w14:val="tx1"/>
            </w14:solidFill>
          </w14:textFill>
        </w:rPr>
      </w:pPr>
      <w:r>
        <w:rPr>
          <w:rFonts w:eastAsia="仿宋_GB2312"/>
          <w:color w:val="000000" w:themeColor="text1"/>
          <w:kern w:val="0"/>
          <w:sz w:val="21"/>
          <w:highlight w:val="none"/>
          <w14:textFill>
            <w14:solidFill>
              <w14:schemeClr w14:val="tx1"/>
            </w14:solidFill>
          </w14:textFill>
        </w:rPr>
        <w:t>1.1.7</w:t>
      </w:r>
      <w:r>
        <w:rPr>
          <w:rFonts w:hint="eastAsia" w:eastAsia="仿宋_GB2312"/>
          <w:color w:val="000000" w:themeColor="text1"/>
          <w:kern w:val="0"/>
          <w:sz w:val="21"/>
          <w:highlight w:val="none"/>
          <w14:textFill>
            <w14:solidFill>
              <w14:schemeClr w14:val="tx1"/>
            </w14:solidFill>
          </w14:textFill>
        </w:rPr>
        <w:t>非现金支付：指采用包括但不限于商业承兑汇票、供应链票据等有账期的支付方式。</w:t>
      </w:r>
    </w:p>
    <w:p>
      <w:pPr>
        <w:pStyle w:val="77"/>
        <w:ind w:firstLine="420"/>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1.1.8签约合同价格：是指发包人和承包人在合同协议书中确定的总金额，包括绿色施工安全防护措施费、暂估价及暂列金额等。</w:t>
      </w:r>
    </w:p>
    <w:p>
      <w:pPr>
        <w:pStyle w:val="77"/>
        <w:ind w:firstLine="420"/>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1.1.9合同价格：是指发包人用于支付承包人按照合同约定完成承包范围内全部工作的金额，包括合同履行过程中按合同约定发生的价格变化。</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 语言文字</w:t>
      </w:r>
      <w:bookmarkEnd w:id="553"/>
      <w:bookmarkEnd w:id="554"/>
      <w:bookmarkEnd w:id="55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1.2.1. 本合同除使用汉语外，还使用</w:t>
      </w:r>
      <w:r>
        <w:rPr>
          <w:rFonts w:hint="eastAsia"/>
          <w:color w:val="000000" w:themeColor="text1"/>
          <w:highlight w:val="none"/>
          <w:u w:val="single"/>
          <w14:textFill>
            <w14:solidFill>
              <w14:schemeClr w14:val="tx1"/>
            </w14:solidFill>
          </w14:textFill>
        </w:rPr>
        <w:t xml:space="preserve"> </w:t>
      </w:r>
      <w:r>
        <w:rPr>
          <w:color w:val="000000" w:themeColor="text1"/>
          <w:highlight w:val="none"/>
          <w:u w:val="single"/>
          <w14:textFill>
            <w14:solidFill>
              <w14:schemeClr w14:val="tx1"/>
            </w14:solidFill>
          </w14:textFill>
        </w:rPr>
        <w:t>/</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语言文字。</w:t>
      </w:r>
    </w:p>
    <w:p>
      <w:pPr>
        <w:pStyle w:val="77"/>
        <w:ind w:firstLine="480"/>
        <w:rPr>
          <w:color w:val="000000" w:themeColor="text1"/>
          <w:highlight w:val="none"/>
          <w14:textFill>
            <w14:solidFill>
              <w14:schemeClr w14:val="tx1"/>
            </w14:solidFill>
          </w14:textFill>
        </w:rPr>
      </w:pPr>
      <w:bookmarkStart w:id="556" w:name="_Toc3575"/>
      <w:bookmarkStart w:id="557" w:name="_Toc44492552"/>
      <w:bookmarkStart w:id="558" w:name="_Toc3979"/>
      <w:r>
        <w:rPr>
          <w:rFonts w:hint="eastAsia"/>
          <w:color w:val="000000" w:themeColor="text1"/>
          <w:highlight w:val="none"/>
          <w14:textFill>
            <w14:solidFill>
              <w14:schemeClr w14:val="tx1"/>
            </w14:solidFill>
          </w14:textFill>
        </w:rPr>
        <w:t>1.3.适用法律、标准及规范</w:t>
      </w:r>
      <w:bookmarkEnd w:id="556"/>
      <w:bookmarkEnd w:id="557"/>
      <w:bookmarkEnd w:id="55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 本合同需要特别明示所适用的法律、行政法规有：</w:t>
      </w:r>
      <w:r>
        <w:rPr>
          <w:rFonts w:hint="eastAsia"/>
          <w:color w:val="000000" w:themeColor="text1"/>
          <w:highlight w:val="none"/>
          <w:u w:val="single"/>
          <w14:textFill>
            <w14:solidFill>
              <w14:schemeClr w14:val="tx1"/>
            </w14:solidFill>
          </w14:textFill>
        </w:rPr>
        <w:t xml:space="preserve">   /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1.3.2. 本合同适用的标准、规范为中华人民共和国现行的有关工程建设与施工的技术标准与规范，包括但不限于：</w:t>
      </w:r>
      <w:r>
        <w:rPr>
          <w:rFonts w:hint="eastAsia"/>
          <w:color w:val="000000" w:themeColor="text1"/>
          <w:highlight w:val="none"/>
          <w:u w:val="single"/>
          <w14:textFill>
            <w14:solidFill>
              <w14:schemeClr w14:val="tx1"/>
            </w14:solidFill>
          </w14:textFill>
        </w:rPr>
        <w:t>《建筑工程施工与验收规范》中适用于本工程的施工与验收规范、其他技术标准及要求在合同附件中约定。</w:t>
      </w:r>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1.4</w:t>
      </w:r>
      <w:r>
        <w:rPr>
          <w:rFonts w:eastAsia="黑体"/>
          <w:bCs/>
          <w:color w:val="000000" w:themeColor="text1"/>
          <w:kern w:val="2"/>
          <w:sz w:val="24"/>
          <w:highlight w:val="none"/>
          <w14:textFill>
            <w14:solidFill>
              <w14:schemeClr w14:val="tx1"/>
            </w14:solidFill>
          </w14:textFill>
        </w:rPr>
        <w:t xml:space="preserve"> </w:t>
      </w:r>
      <w:r>
        <w:rPr>
          <w:rFonts w:hint="eastAsia" w:eastAsia="黑体"/>
          <w:bCs/>
          <w:color w:val="000000" w:themeColor="text1"/>
          <w:kern w:val="2"/>
          <w:sz w:val="24"/>
          <w:highlight w:val="none"/>
          <w14:textFill>
            <w14:solidFill>
              <w14:schemeClr w14:val="tx1"/>
            </w14:solidFill>
          </w14:textFill>
        </w:rPr>
        <w:t>合同文件的优先顺序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 通用条款1.4.1修订为：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下列文件均为合同的组成部分，互为补充和解释。若合同文件中对本工程质量、进度、安全等要求有不一致的，分包人应在施工前通过承包人向发包人提出，除发包人明确指示适用何种规定外，以对分包人义务、责任要求高者严者为准；其他内容出现不一致的，除本合同另有明文规定外，按以下排列在前者为准，同一顺序文件出现不一致的，以时间在后者为准；经发包人认定分包人的有关承诺比顺序在前的文件对发包人更有利的，就该承诺事项以该特定承诺为准。</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1）本合同的补充合同（若有）；</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2）协议书；</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3）中标通知书；</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4）本合同专用条款、合同附件；</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5）通用条款</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6）技术标准和要求；</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7）图纸；</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8）已标价工程量清单；</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投标文件（另册，但投标文件以符合招标文件和经招标人书面同意者为准，投标文件承诺的投标人的义务、责任比招标文件更高更严者，适用该等对招标人有利的承诺；投标文件低于招标文件要求的或对招标人不利的，以招标文件为准。）；</w:t>
      </w:r>
    </w:p>
    <w:p>
      <w:pPr>
        <w:pStyle w:val="52"/>
        <w:ind w:left="420"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10）招标文件（另册）；</w:t>
      </w:r>
    </w:p>
    <w:p>
      <w:pPr>
        <w:pStyle w:val="52"/>
        <w:ind w:firstLine="840" w:firstLineChars="4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11）经双方认可的其他有关书面文件。</w:t>
      </w:r>
    </w:p>
    <w:p>
      <w:pPr>
        <w:pStyle w:val="77"/>
        <w:ind w:firstLine="480"/>
        <w:rPr>
          <w:color w:val="000000" w:themeColor="text1"/>
          <w:highlight w:val="none"/>
          <w14:textFill>
            <w14:solidFill>
              <w14:schemeClr w14:val="tx1"/>
            </w14:solidFill>
          </w14:textFill>
        </w:rPr>
      </w:pPr>
      <w:bookmarkStart w:id="559" w:name="_Toc105"/>
      <w:bookmarkStart w:id="560" w:name="_Toc6960"/>
      <w:bookmarkStart w:id="561" w:name="_Toc44492553"/>
      <w:r>
        <w:rPr>
          <w:rFonts w:hint="eastAsia"/>
          <w:color w:val="000000" w:themeColor="text1"/>
          <w:highlight w:val="none"/>
          <w14:textFill>
            <w14:solidFill>
              <w14:schemeClr w14:val="tx1"/>
            </w14:solidFill>
          </w14:textFill>
        </w:rPr>
        <w:t>1.6. 图纸和分包人文件</w:t>
      </w:r>
      <w:bookmarkEnd w:id="559"/>
      <w:bookmarkEnd w:id="560"/>
      <w:bookmarkEnd w:id="561"/>
    </w:p>
    <w:p>
      <w:pPr>
        <w:pStyle w:val="75"/>
        <w:ind w:firstLine="422"/>
        <w:rPr>
          <w:color w:val="000000" w:themeColor="text1"/>
          <w:highlight w:val="none"/>
          <w14:textFill>
            <w14:solidFill>
              <w14:schemeClr w14:val="tx1"/>
            </w14:solidFill>
          </w14:textFill>
        </w:rPr>
      </w:pPr>
      <w:bookmarkStart w:id="562" w:name="_Toc24632"/>
      <w:r>
        <w:rPr>
          <w:rFonts w:hint="eastAsia"/>
          <w:color w:val="000000" w:themeColor="text1"/>
          <w:highlight w:val="none"/>
          <w14:textFill>
            <w14:solidFill>
              <w14:schemeClr w14:val="tx1"/>
            </w14:solidFill>
          </w14:textFill>
        </w:rPr>
        <w:t>1.6.1. 承包人提供的图纸</w:t>
      </w:r>
      <w:bookmarkEnd w:id="56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承包人在</w:t>
      </w:r>
      <w:r>
        <w:rPr>
          <w:rFonts w:hint="eastAsia"/>
          <w:color w:val="000000" w:themeColor="text1"/>
          <w:highlight w:val="none"/>
          <w:u w:val="single"/>
          <w14:textFill>
            <w14:solidFill>
              <w14:schemeClr w14:val="tx1"/>
            </w14:solidFill>
          </w14:textFill>
        </w:rPr>
        <w:t xml:space="preserve"> 工程开工前 </w:t>
      </w:r>
      <w:r>
        <w:rPr>
          <w:rFonts w:hint="eastAsia"/>
          <w:color w:val="000000" w:themeColor="text1"/>
          <w:highlight w:val="none"/>
          <w14:textFill>
            <w14:solidFill>
              <w14:schemeClr w14:val="tx1"/>
            </w14:solidFill>
          </w14:textFill>
        </w:rPr>
        <w:t>向分包人提供</w:t>
      </w:r>
      <w:r>
        <w:rPr>
          <w:rFonts w:hint="eastAsia"/>
          <w:color w:val="000000" w:themeColor="text1"/>
          <w:highlight w:val="none"/>
          <w:u w:val="single"/>
          <w14:textFill>
            <w14:solidFill>
              <w14:schemeClr w14:val="tx1"/>
            </w14:solidFill>
          </w14:textFill>
        </w:rPr>
        <w:t xml:space="preserve">  施工图纸  </w:t>
      </w:r>
      <w:r>
        <w:rPr>
          <w:rFonts w:hint="eastAsia"/>
          <w:color w:val="000000" w:themeColor="text1"/>
          <w:highlight w:val="none"/>
          <w14:textFill>
            <w14:solidFill>
              <w14:schemeClr w14:val="tx1"/>
            </w14:solidFill>
          </w14:textFill>
        </w:rPr>
        <w:t>一式</w:t>
      </w:r>
      <w:r>
        <w:rPr>
          <w:rFonts w:hint="eastAsia"/>
          <w:color w:val="000000" w:themeColor="text1"/>
          <w:highlight w:val="none"/>
          <w:u w:val="single"/>
          <w14:textFill>
            <w14:solidFill>
              <w14:schemeClr w14:val="tx1"/>
            </w14:solidFill>
          </w14:textFill>
        </w:rPr>
        <w:t xml:space="preserve">肆 </w:t>
      </w:r>
      <w:r>
        <w:rPr>
          <w:rFonts w:hint="eastAsia"/>
          <w:color w:val="000000" w:themeColor="text1"/>
          <w:highlight w:val="none"/>
          <w14:textFill>
            <w14:solidFill>
              <w14:schemeClr w14:val="tx1"/>
            </w14:solidFill>
          </w14:textFill>
        </w:rPr>
        <w:t>份（含分包人制作竣工图所用的</w:t>
      </w:r>
      <w:r>
        <w:rPr>
          <w:rFonts w:hint="eastAsia"/>
          <w:color w:val="000000" w:themeColor="text1"/>
          <w:highlight w:val="none"/>
          <w:u w:val="single"/>
          <w14:textFill>
            <w14:solidFill>
              <w14:schemeClr w14:val="tx1"/>
            </w14:solidFill>
          </w14:textFill>
        </w:rPr>
        <w:t>叁</w:t>
      </w:r>
      <w:r>
        <w:rPr>
          <w:rFonts w:hint="eastAsia"/>
          <w:color w:val="000000" w:themeColor="text1"/>
          <w:highlight w:val="none"/>
          <w14:textFill>
            <w14:solidFill>
              <w14:schemeClr w14:val="tx1"/>
            </w14:solidFill>
          </w14:textFill>
        </w:rPr>
        <w:t>套）。</w:t>
      </w:r>
    </w:p>
    <w:p>
      <w:pPr>
        <w:pStyle w:val="75"/>
        <w:ind w:firstLine="422"/>
        <w:rPr>
          <w:color w:val="000000" w:themeColor="text1"/>
          <w:highlight w:val="none"/>
          <w14:textFill>
            <w14:solidFill>
              <w14:schemeClr w14:val="tx1"/>
            </w14:solidFill>
          </w14:textFill>
        </w:rPr>
      </w:pPr>
      <w:bookmarkStart w:id="563" w:name="_Toc11577"/>
      <w:r>
        <w:rPr>
          <w:rFonts w:hint="eastAsia"/>
          <w:color w:val="000000" w:themeColor="text1"/>
          <w:highlight w:val="none"/>
          <w14:textFill>
            <w14:solidFill>
              <w14:schemeClr w14:val="tx1"/>
            </w14:solidFill>
          </w14:textFill>
        </w:rPr>
        <w:t>1.6.2. 分包人提供的图纸</w:t>
      </w:r>
      <w:bookmarkEnd w:id="563"/>
    </w:p>
    <w:p>
      <w:pPr>
        <w:pStyle w:val="52"/>
        <w:ind w:firstLine="420"/>
        <w:rPr>
          <w:rFonts w:ascii="仿宋" w:hAnsi="仿宋" w:eastAsia="仿宋" w:cs="宋体"/>
          <w:color w:val="000000" w:themeColor="text1"/>
          <w:highlight w:val="none"/>
          <w14:textFill>
            <w14:solidFill>
              <w14:schemeClr w14:val="tx1"/>
            </w14:solidFill>
          </w14:textFill>
        </w:rPr>
      </w:pPr>
      <w:r>
        <w:rPr>
          <w:rFonts w:hint="eastAsia" w:ascii="仿宋" w:hAnsi="仿宋" w:eastAsia="仿宋" w:cs="宋体"/>
          <w:color w:val="000000" w:themeColor="text1"/>
          <w:highlight w:val="none"/>
          <w14:textFill>
            <w14:solidFill>
              <w14:schemeClr w14:val="tx1"/>
            </w14:solidFill>
          </w14:textFill>
        </w:rPr>
        <w:t>1)</w:t>
      </w:r>
      <w:r>
        <w:rPr>
          <w:rFonts w:hint="eastAsia" w:ascii="仿宋" w:hAnsi="仿宋" w:eastAsia="仿宋" w:cs="宋体"/>
          <w:color w:val="000000" w:themeColor="text1"/>
          <w:highlight w:val="none"/>
          <w14:textFill>
            <w14:solidFill>
              <w14:schemeClr w14:val="tx1"/>
            </w14:solidFill>
          </w14:textFill>
        </w:rPr>
        <w:tab/>
      </w:r>
      <w:r>
        <w:rPr>
          <w:rFonts w:hint="eastAsia" w:ascii="仿宋" w:hAnsi="仿宋" w:eastAsia="仿宋" w:cs="宋体"/>
          <w:color w:val="000000" w:themeColor="text1"/>
          <w:highlight w:val="none"/>
          <w14:textFill>
            <w14:solidFill>
              <w14:schemeClr w14:val="tx1"/>
            </w14:solidFill>
          </w14:textFill>
        </w:rPr>
        <w:t>分包人需提交的深化设计图纸。</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提交的数量为：壹式八份。所提交的资料需同时包括纸质版与电子版（CAD文档与PDF文档）。</w:t>
      </w:r>
    </w:p>
    <w:p>
      <w:pPr>
        <w:pStyle w:val="52"/>
        <w:ind w:firstLine="420"/>
        <w:rPr>
          <w:color w:val="000000" w:themeColor="text1"/>
          <w:highlight w:val="none"/>
          <w14:textFill>
            <w14:solidFill>
              <w14:schemeClr w14:val="tx1"/>
            </w14:solidFill>
          </w14:textFill>
        </w:rPr>
      </w:pPr>
      <w:bookmarkStart w:id="564" w:name="_Toc495653031"/>
      <w:bookmarkStart w:id="565" w:name="_Toc496532146"/>
      <w:bookmarkStart w:id="566" w:name="_Toc498960541"/>
      <w:bookmarkStart w:id="567" w:name="_Toc495652728"/>
      <w:bookmarkStart w:id="568" w:name="_Toc496531120"/>
      <w:bookmarkStart w:id="569" w:name="_Toc495916046"/>
      <w:r>
        <w:rPr>
          <w:rFonts w:hint="eastAsia"/>
          <w:color w:val="000000" w:themeColor="text1"/>
          <w:highlight w:val="none"/>
          <w14:textFill>
            <w14:solidFill>
              <w14:schemeClr w14:val="tx1"/>
            </w14:solidFill>
          </w14:textFill>
        </w:rPr>
        <w:t>深化设计的相关费用、施工期间因各方原因之深化设计修改费用、深化设计图审核费及深化设计出图费用已含于本合同签约合同价格中，由分包人承担，承包人不再另行支付。分包人在图纸会审后20天内完成施工图纸节点方案深化设计。否则，每超过一天，分包人须支付1万元/天的违约金，且不免除分包人需完成的深化设计任务。</w:t>
      </w:r>
      <w:bookmarkEnd w:id="564"/>
      <w:bookmarkEnd w:id="565"/>
      <w:bookmarkEnd w:id="566"/>
      <w:bookmarkEnd w:id="567"/>
      <w:bookmarkEnd w:id="568"/>
      <w:bookmarkEnd w:id="5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分包人提供的竣工图的份数：竣工图纸壹式叁份及相应的电子磁盘资料叁套。</w:t>
      </w:r>
    </w:p>
    <w:p>
      <w:pPr>
        <w:pStyle w:val="52"/>
        <w:ind w:firstLine="420"/>
        <w:rPr>
          <w:bCs/>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其他需分包人提供的图纸及其要求：</w:t>
      </w:r>
      <w:r>
        <w:rPr>
          <w:rFonts w:hint="eastAsia"/>
          <w:bCs/>
          <w:color w:val="000000" w:themeColor="text1"/>
          <w:highlight w:val="none"/>
          <w14:textFill>
            <w14:solidFill>
              <w14:schemeClr w14:val="tx1"/>
            </w14:solidFill>
          </w14:textFill>
        </w:rPr>
        <w:t>竣工资料及竣工图纸必须准确真实的反映实际施工情况（含电子版文件叁套）。竣工图（含整改前、整改后）由分包人编制，相关费用（包括但不限于编制费及出图费（如需）由分包人承担）在合同签约合同价格中综合考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  深化设计相关要求：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①由分包人负责专业工程设计深化的，深化设计费用已在投标报价中综合考虑，不另行支付。设计深化是在原招标图及下发施工图基础上结合现场实际情况对图纸进行完善、补充、细化后，绘制成具有可实施性的现场施工图纸，通过发包人审查，图形合一，直接指导现场施工。深化设计文件深度要满足施工、维护等工程需求，包含但不限于以下内容：图纸、计算书、技术文档、调试安装手册等。深化设计文件需要符合本工程资质的设计院盖章。</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②深化设计必须实现原设计所有功能，并不低于原有设计要求。不因设计深化图纸经发包人审核确认而免除分包人深化设计后图纸不满足原方案设计、技术要求、设计施工规范之违约责任。经审批深化设计后，本工程或分项工程或子系统的功能、需求、档次、材质的，合同价款不予增加；本工程或分项工程或子系统的功能、需求、档次、材质的，合同价款相应调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③分包人提交的深化设计图纸必须一次性满足发包人和承包人的深化设计要求，否则，每超过一次，分包人须按专用条款第22.1条向承包人承担违约责任，且不免除分包人需完成的深化设计义务。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④施工方案由分包人负责编制，承包人及发包人确认后方可实施。符合以下特点的工作需要编制施工方案：危险性较大、工序较多、工作时间长、涉及多 个单位配合协调及其他需要经承包人审核后报发包人批准方可实施的工作。</w:t>
      </w:r>
    </w:p>
    <w:p>
      <w:pPr>
        <w:pStyle w:val="52"/>
        <w:ind w:firstLine="420"/>
        <w:rPr>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⑤</w:t>
      </w:r>
      <w:r>
        <w:rPr>
          <w:rFonts w:hint="eastAsia"/>
          <w:color w:val="000000" w:themeColor="text1"/>
          <w:highlight w:val="none"/>
          <w14:textFill>
            <w14:solidFill>
              <w14:schemeClr w14:val="tx1"/>
            </w14:solidFill>
          </w14:textFill>
        </w:rPr>
        <w:t>如分包人的施工组织设计无法满足工期要求的，由分包人自行优化达到发包人和承包人的工期要求，相关费用由分包人承担。</w:t>
      </w:r>
    </w:p>
    <w:p>
      <w:pPr>
        <w:widowControl/>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color w:val="000000" w:themeColor="text1"/>
          <w:highlight w:val="none"/>
          <w14:textFill>
            <w14:solidFill>
              <w14:schemeClr w14:val="tx1"/>
            </w14:solidFill>
          </w14:textFill>
        </w:rPr>
        <w:t>⑥</w:t>
      </w:r>
      <w:r>
        <w:rPr>
          <w:rFonts w:hint="eastAsia" w:ascii="Times New Roman" w:hAnsi="Times New Roman" w:eastAsia="仿宋_GB2312"/>
          <w:color w:val="000000" w:themeColor="text1"/>
          <w:kern w:val="0"/>
          <w:szCs w:val="32"/>
          <w:highlight w:val="none"/>
          <w14:textFill>
            <w14:solidFill>
              <w14:schemeClr w14:val="tx1"/>
            </w14:solidFill>
          </w14:textFill>
        </w:rPr>
        <w:t>由分包人负责完成的图纸深化设计、施工组织设计等存在缺陷造成的任何支出，由分包人承担。</w:t>
      </w:r>
    </w:p>
    <w:p>
      <w:pPr>
        <w:pStyle w:val="77"/>
        <w:ind w:firstLine="480"/>
        <w:rPr>
          <w:color w:val="000000" w:themeColor="text1"/>
          <w:highlight w:val="none"/>
          <w14:textFill>
            <w14:solidFill>
              <w14:schemeClr w14:val="tx1"/>
            </w14:solidFill>
          </w14:textFill>
        </w:rPr>
      </w:pPr>
      <w:bookmarkStart w:id="570" w:name="_Toc31011"/>
      <w:bookmarkStart w:id="571" w:name="_Toc28022"/>
      <w:bookmarkStart w:id="572" w:name="_Toc44492554"/>
      <w:r>
        <w:rPr>
          <w:rFonts w:hint="eastAsia"/>
          <w:color w:val="000000" w:themeColor="text1"/>
          <w:highlight w:val="none"/>
          <w14:textFill>
            <w14:solidFill>
              <w14:schemeClr w14:val="tx1"/>
            </w14:solidFill>
          </w14:textFill>
        </w:rPr>
        <w:t>1.9.</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文物和地下障碍物</w:t>
      </w:r>
      <w:bookmarkEnd w:id="570"/>
      <w:bookmarkEnd w:id="571"/>
      <w:bookmarkEnd w:id="57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1.9.1. 通用条款第1.9.1条中“由此导致工期延误超过7天的，顺延延误的工期。如发现后隐瞒不报，致使文物遭受破坏，责任者依法承担相应责任”修订为：由此导致工期延误超过7天的，顺延延误超过7天（不含本数）以上部分的工期，工期延误在7天及以内的，工期不顺延。如发现后隐瞒不报，致使文物遭受破坏，责任者依法承担相应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 xml:space="preserve">.9.3. </w:t>
      </w:r>
      <w:r>
        <w:rPr>
          <w:color w:val="000000" w:themeColor="text1"/>
          <w:highlight w:val="none"/>
          <w14:textFill>
            <w14:solidFill>
              <w14:schemeClr w14:val="tx1"/>
            </w14:solidFill>
          </w14:textFill>
        </w:rPr>
        <w:t>发包人和承包人向分包人提供的有关现场的所有基础资料和数据（包括地下管线、气象和水文观测、地质勘察资料和地下工程等有关基础资料），是发包人和承包人现有的能供分包人利用的资料，发包人和承包人对分包人由此而做出的理解、推论、结论和决策等概不负责。分包人有义务对所有基础资料的真实性、准确性和完整性进行复核确认，不得以资料不齐全、不真实、不准确等向发包人或承包人提出索赔。</w:t>
      </w:r>
    </w:p>
    <w:p>
      <w:pPr>
        <w:pStyle w:val="73"/>
        <w:rPr>
          <w:color w:val="000000" w:themeColor="text1"/>
          <w:highlight w:val="none"/>
          <w14:textFill>
            <w14:solidFill>
              <w14:schemeClr w14:val="tx1"/>
            </w14:solidFill>
          </w14:textFill>
        </w:rPr>
      </w:pPr>
      <w:bookmarkStart w:id="573" w:name="_Toc19507"/>
      <w:bookmarkStart w:id="574" w:name="_Toc44492555"/>
      <w:bookmarkStart w:id="575" w:name="_Toc22419"/>
      <w:bookmarkStart w:id="576" w:name="_Toc38987271"/>
      <w:bookmarkStart w:id="577" w:name="_Toc2911"/>
      <w:bookmarkStart w:id="578" w:name="_Toc44228154"/>
      <w:bookmarkStart w:id="579" w:name="_Toc91082435"/>
      <w:r>
        <w:rPr>
          <w:rFonts w:hint="eastAsia"/>
          <w:color w:val="000000" w:themeColor="text1"/>
          <w:highlight w:val="none"/>
          <w14:textFill>
            <w14:solidFill>
              <w14:schemeClr w14:val="tx1"/>
            </w14:solidFill>
          </w14:textFill>
        </w:rPr>
        <w:t>2.</w:t>
      </w:r>
      <w:bookmarkEnd w:id="573"/>
      <w:bookmarkEnd w:id="574"/>
      <w:bookmarkEnd w:id="575"/>
      <w:bookmarkEnd w:id="576"/>
      <w:bookmarkEnd w:id="577"/>
      <w:bookmarkEnd w:id="578"/>
      <w:r>
        <w:rPr>
          <w:rFonts w:hint="eastAsia"/>
          <w:color w:val="000000" w:themeColor="text1"/>
          <w:highlight w:val="none"/>
          <w14:textFill>
            <w14:solidFill>
              <w14:schemeClr w14:val="tx1"/>
            </w14:solidFill>
          </w14:textFill>
        </w:rPr>
        <w:t>承包人</w:t>
      </w:r>
      <w:bookmarkEnd w:id="579"/>
    </w:p>
    <w:p>
      <w:pPr>
        <w:pStyle w:val="77"/>
        <w:ind w:firstLine="480"/>
        <w:rPr>
          <w:color w:val="000000" w:themeColor="text1"/>
          <w:highlight w:val="none"/>
          <w14:textFill>
            <w14:solidFill>
              <w14:schemeClr w14:val="tx1"/>
            </w14:solidFill>
          </w14:textFill>
        </w:rPr>
      </w:pPr>
      <w:bookmarkStart w:id="580" w:name="_Toc44492556"/>
      <w:bookmarkStart w:id="581" w:name="_Toc9080"/>
      <w:bookmarkStart w:id="582" w:name="_Toc5409"/>
      <w:r>
        <w:rPr>
          <w:rFonts w:hint="eastAsia"/>
          <w:color w:val="000000" w:themeColor="text1"/>
          <w:highlight w:val="none"/>
          <w14:textFill>
            <w14:solidFill>
              <w14:schemeClr w14:val="tx1"/>
            </w14:solidFill>
          </w14:textFill>
        </w:rPr>
        <w:t>2.1. 承包人代表</w:t>
      </w:r>
      <w:bookmarkEnd w:id="580"/>
      <w:bookmarkEnd w:id="581"/>
      <w:bookmarkEnd w:id="58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2.1.1. 承包人代表的姓名：</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，职务：</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，联系电话：</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2.1.2.承包人赋予承包人代表的其他权限：</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 xml:space="preserve">。 </w:t>
      </w:r>
    </w:p>
    <w:p>
      <w:pPr>
        <w:pStyle w:val="75"/>
        <w:ind w:firstLine="422"/>
        <w:rPr>
          <w:color w:val="000000" w:themeColor="text1"/>
          <w:highlight w:val="none"/>
          <w14:textFill>
            <w14:solidFill>
              <w14:schemeClr w14:val="tx1"/>
            </w14:solidFill>
          </w14:textFill>
        </w:rPr>
      </w:pPr>
      <w:bookmarkStart w:id="583" w:name="_Toc28717"/>
      <w:r>
        <w:rPr>
          <w:rFonts w:hint="eastAsia"/>
          <w:color w:val="000000" w:themeColor="text1"/>
          <w:highlight w:val="none"/>
          <w14:textFill>
            <w14:solidFill>
              <w14:schemeClr w14:val="tx1"/>
            </w14:solidFill>
          </w14:textFill>
        </w:rPr>
        <w:t>2.2. 承包人一般权利义务</w:t>
      </w:r>
      <w:bookmarkEnd w:id="583"/>
    </w:p>
    <w:p>
      <w:pPr>
        <w:pStyle w:val="75"/>
        <w:ind w:firstLine="420"/>
        <w:rPr>
          <w:b w:val="0"/>
          <w:color w:val="000000" w:themeColor="text1"/>
          <w:highlight w:val="none"/>
          <w14:textFill>
            <w14:solidFill>
              <w14:schemeClr w14:val="tx1"/>
            </w14:solidFill>
          </w14:textFill>
        </w:rPr>
      </w:pPr>
      <w:bookmarkStart w:id="584" w:name="_Toc1856"/>
      <w:bookmarkStart w:id="585" w:name="_Toc21967"/>
      <w:r>
        <w:rPr>
          <w:rFonts w:hint="eastAsia"/>
          <w:b w:val="0"/>
          <w:color w:val="000000" w:themeColor="text1"/>
          <w:highlight w:val="none"/>
          <w14:textFill>
            <w14:solidFill>
              <w14:schemeClr w14:val="tx1"/>
            </w14:solidFill>
          </w14:textFill>
        </w:rPr>
        <w:t>2.2.1</w:t>
      </w:r>
      <w:r>
        <w:rPr>
          <w:b w:val="0"/>
          <w:color w:val="000000" w:themeColor="text1"/>
          <w:highlight w:val="none"/>
          <w14:textFill>
            <w14:solidFill>
              <w14:schemeClr w14:val="tx1"/>
            </w14:solidFill>
          </w14:textFill>
        </w:rPr>
        <w:t xml:space="preserve">. </w:t>
      </w:r>
      <w:r>
        <w:rPr>
          <w:rFonts w:eastAsia="仿宋_GB2312"/>
          <w:b w:val="0"/>
          <w:color w:val="000000" w:themeColor="text1"/>
          <w:highlight w:val="none"/>
          <w14:textFill>
            <w14:solidFill>
              <w14:schemeClr w14:val="tx1"/>
            </w14:solidFill>
          </w14:textFill>
        </w:rPr>
        <w:t>经发包人书面同意</w:t>
      </w:r>
      <w:r>
        <w:rPr>
          <w:rFonts w:hint="eastAsia" w:eastAsia="仿宋_GB2312"/>
          <w:b w:val="0"/>
          <w:color w:val="000000" w:themeColor="text1"/>
          <w:highlight w:val="none"/>
          <w14:textFill>
            <w14:solidFill>
              <w14:schemeClr w14:val="tx1"/>
            </w14:solidFill>
          </w14:textFill>
        </w:rPr>
        <w:t>，承包人在实施过程中根据本工程实际情况需要有权增减部分内容。</w:t>
      </w:r>
      <w:bookmarkEnd w:id="584"/>
    </w:p>
    <w:p>
      <w:pPr>
        <w:pStyle w:val="75"/>
        <w:ind w:firstLine="420"/>
        <w:rPr>
          <w:rFonts w:ascii="仿宋" w:hAnsi="仿宋" w:eastAsia="仿宋"/>
          <w:b w:val="0"/>
          <w:color w:val="000000" w:themeColor="text1"/>
          <w:highlight w:val="none"/>
          <w14:textFill>
            <w14:solidFill>
              <w14:schemeClr w14:val="tx1"/>
            </w14:solidFill>
          </w14:textFill>
        </w:rPr>
      </w:pPr>
      <w:r>
        <w:rPr>
          <w:rFonts w:hint="eastAsia" w:ascii="仿宋" w:hAnsi="仿宋" w:eastAsia="仿宋"/>
          <w:b w:val="0"/>
          <w:color w:val="000000" w:themeColor="text1"/>
          <w:highlight w:val="none"/>
          <w14:textFill>
            <w14:solidFill>
              <w14:schemeClr w14:val="tx1"/>
            </w14:solidFill>
          </w14:textFill>
        </w:rPr>
        <w:t>2.2.4. 承包人完成以下工作：</w:t>
      </w:r>
      <w:bookmarkEnd w:id="58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 通用条款第2.2.4条第1）款增加内容：设计交底后，分包人应当继续审查相关图纸中可能存在的不符合法律规定、适用标准、施工规范的任何错误、冲突，并在</w:t>
      </w:r>
      <w:r>
        <w:rPr>
          <w:color w:val="000000" w:themeColor="text1"/>
          <w:highlight w:val="none"/>
          <w:u w:val="single"/>
          <w14:textFill>
            <w14:solidFill>
              <w14:schemeClr w14:val="tx1"/>
            </w14:solidFill>
          </w14:textFill>
        </w:rPr>
        <w:t>7</w:t>
      </w:r>
      <w:r>
        <w:rPr>
          <w:rFonts w:hint="eastAsia"/>
          <w:color w:val="000000" w:themeColor="text1"/>
          <w:highlight w:val="none"/>
          <w14:textFill>
            <w14:solidFill>
              <w14:schemeClr w14:val="tx1"/>
            </w14:solidFill>
          </w14:textFill>
        </w:rPr>
        <w:t>天内以书面方式报承包人、发包人及监理人。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其他由承包人完成的工作： </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分包人进场后，承包人提供水平控制线，进行现场交验。</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分包人进场后，向分包人提供施工场地的工程地质和地上（下）管线资料。分包人对地上（下）管线负有保护责任，如因分包人原因造成损坏，由分包人负责维修并承担费用。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2.2.5 施</w:t>
      </w:r>
      <w:r>
        <w:rPr>
          <w:color w:val="000000" w:themeColor="text1"/>
          <w:highlight w:val="none"/>
          <w14:textFill>
            <w14:solidFill>
              <w14:schemeClr w14:val="tx1"/>
            </w14:solidFill>
          </w14:textFill>
        </w:rPr>
        <w:t>工所需水、电、电讯线路说明：</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）关于施工所需水、电的具体约定：</w:t>
      </w:r>
      <w:r>
        <w:rPr>
          <w:rFonts w:hint="eastAsia"/>
          <w:color w:val="000000" w:themeColor="text1"/>
          <w:highlight w:val="none"/>
          <w14:textFill>
            <w14:solidFill>
              <w14:schemeClr w14:val="tx1"/>
            </w14:solidFill>
          </w14:textFill>
        </w:rPr>
        <w:t>分包人在项目红线内施工过程中的产生的水电费用已包含在发包人向承包人支付的总承包服务费中，期间分包人每月发生的水电费，由承包人支付，分包人无需再向承包人支付水电费；分包人项目红线外施工过程中产生的水电费包含在本签约合同价格中，由分包人自行解决。承包人向分包人提供相应的项目红线内施工用水、用电的接驳点（具体接驳点位置要求详见合同附件6），且容量或负荷满足专业分包的要求。接驳点以后的项目红线内外管道、线路由分包人负责敷设、拆除，并承担相关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2）电讯费由分包人自行解决。</w:t>
      </w:r>
    </w:p>
    <w:p>
      <w:pPr>
        <w:pStyle w:val="52"/>
        <w:ind w:firstLine="422"/>
        <w:rPr>
          <w:color w:val="000000" w:themeColor="text1"/>
          <w:highlight w:val="none"/>
          <w14:textFill>
            <w14:solidFill>
              <w14:schemeClr w14:val="tx1"/>
            </w14:solidFill>
          </w14:textFill>
        </w:rPr>
      </w:pPr>
      <w:bookmarkStart w:id="586" w:name="_Toc18813"/>
      <w:r>
        <w:rPr>
          <w:rFonts w:hint="eastAsia"/>
          <w:b/>
          <w:color w:val="000000" w:themeColor="text1"/>
          <w:highlight w:val="none"/>
          <w14:textFill>
            <w14:solidFill>
              <w14:schemeClr w14:val="tx1"/>
            </w14:solidFill>
          </w14:textFill>
        </w:rPr>
        <w:t>2.2.6. 承包人委托分包人办理的工作</w:t>
      </w:r>
      <w:r>
        <w:rPr>
          <w:rFonts w:hint="eastAsia"/>
          <w:color w:val="000000" w:themeColor="text1"/>
          <w:highlight w:val="none"/>
          <w14:textFill>
            <w14:solidFill>
              <w14:schemeClr w14:val="tx1"/>
            </w14:solidFill>
          </w14:textFill>
        </w:rPr>
        <w:t>（包括但不限于）</w:t>
      </w:r>
      <w:r>
        <w:rPr>
          <w:rFonts w:hint="eastAsia"/>
          <w:b/>
          <w:color w:val="000000" w:themeColor="text1"/>
          <w:highlight w:val="none"/>
          <w14:textFill>
            <w14:solidFill>
              <w14:schemeClr w14:val="tx1"/>
            </w14:solidFill>
          </w14:textFill>
        </w:rPr>
        <w:t>：</w:t>
      </w:r>
      <w:bookmarkEnd w:id="586"/>
    </w:p>
    <w:p>
      <w:pPr>
        <w:adjustRightInd w:val="0"/>
        <w:snapToGrid w:val="0"/>
        <w:spacing w:line="360" w:lineRule="auto"/>
        <w:ind w:firstLine="420" w:firstLineChars="200"/>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1）</w:t>
      </w:r>
      <w:r>
        <w:rPr>
          <w:rFonts w:hint="eastAsia" w:ascii="仿宋" w:hAnsi="仿宋" w:eastAsia="仿宋"/>
          <w:color w:val="000000" w:themeColor="text1"/>
          <w:highlight w:val="none"/>
          <w14:textFill>
            <w14:solidFill>
              <w14:schemeClr w14:val="tx1"/>
            </w14:solidFill>
          </w14:textFill>
        </w:rPr>
        <w:tab/>
      </w:r>
      <w:r>
        <w:rPr>
          <w:rFonts w:hint="eastAsia" w:ascii="仿宋" w:hAnsi="仿宋" w:eastAsia="仿宋"/>
          <w:color w:val="000000" w:themeColor="text1"/>
          <w:highlight w:val="none"/>
          <w14:textFill>
            <w14:solidFill>
              <w14:schemeClr w14:val="tx1"/>
            </w14:solidFill>
          </w14:textFill>
        </w:rPr>
        <w:t>负责办理本工程的各项报建、报装、报规划等相关手续并承担全部费用（所需的所有费用均包含在合同价格中），直至取得相关部门的批复；报验、送电申报、配合甲方将开关房移交供电局并承担全部费用（所需的所有费用均包含在合同价格中），负责施工过程中为完成本合同工程内容须与各相关政府部门及沿线各相关物业单位沟通、协调等相关事宜，相关所需的所有费用均包含在合同价格中。</w:t>
      </w:r>
    </w:p>
    <w:p>
      <w:pPr>
        <w:adjustRightInd w:val="0"/>
        <w:snapToGrid w:val="0"/>
        <w:spacing w:line="360" w:lineRule="auto"/>
        <w:ind w:firstLine="420" w:firstLineChars="200"/>
        <w:rPr>
          <w:rFonts w:ascii="仿宋" w:hAnsi="仿宋" w:eastAsia="仿宋"/>
          <w:color w:val="000000" w:themeColor="text1"/>
          <w:highlight w:val="none"/>
          <w14:textFill>
            <w14:solidFill>
              <w14:schemeClr w14:val="tx1"/>
            </w14:solidFill>
          </w14:textFill>
        </w:rPr>
      </w:pPr>
      <w:r>
        <w:rPr>
          <w:rFonts w:hint="eastAsia" w:eastAsia="仿宋"/>
          <w:color w:val="000000" w:themeColor="text1"/>
          <w:highlight w:val="none"/>
          <w14:textFill>
            <w14:solidFill>
              <w14:schemeClr w14:val="tx1"/>
            </w14:solidFill>
          </w14:textFill>
        </w:rPr>
        <w:t>2</w:t>
      </w:r>
      <w:r>
        <w:rPr>
          <w:rFonts w:hint="eastAsia" w:ascii="仿宋" w:hAnsi="仿宋" w:eastAsia="仿宋"/>
          <w:color w:val="000000" w:themeColor="text1"/>
          <w:highlight w:val="none"/>
          <w14:textFill>
            <w14:solidFill>
              <w14:schemeClr w14:val="tx1"/>
            </w14:solidFill>
          </w14:textFill>
        </w:rPr>
        <w:t>）</w:t>
      </w:r>
      <w:r>
        <w:rPr>
          <w:rFonts w:hint="eastAsia" w:ascii="仿宋" w:hAnsi="仿宋" w:eastAsia="仿宋"/>
          <w:color w:val="000000" w:themeColor="text1"/>
          <w:highlight w:val="none"/>
          <w14:textFill>
            <w14:solidFill>
              <w14:schemeClr w14:val="tx1"/>
            </w14:solidFill>
          </w14:textFill>
        </w:rPr>
        <w:tab/>
      </w:r>
      <w:r>
        <w:rPr>
          <w:rFonts w:hint="eastAsia" w:ascii="仿宋" w:hAnsi="仿宋" w:eastAsia="仿宋"/>
          <w:color w:val="000000" w:themeColor="text1"/>
          <w:highlight w:val="none"/>
          <w14:textFill>
            <w14:solidFill>
              <w14:schemeClr w14:val="tx1"/>
            </w14:solidFill>
          </w14:textFill>
        </w:rPr>
        <w:t>负责办理符合广州供电局及政府部门验收要求的手续及竣工验收资料。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3）负责协调施工过程中的相关职能部门及周边在建其他项目，包括且不限于：街道居委、公安派出所、交通部门、质安监、建管等（如需）。</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4）分包人完成以上工作内容所需的一切费用均包含在合同价款</w:t>
      </w:r>
      <w:r>
        <w:rPr>
          <w:rFonts w:hint="eastAsia"/>
          <w:color w:val="000000" w:themeColor="text1"/>
          <w:highlight w:val="none"/>
          <w14:textFill>
            <w14:solidFill>
              <w14:schemeClr w14:val="tx1"/>
            </w14:solidFill>
          </w14:textFill>
        </w:rPr>
        <w:t>其他措施费用中</w:t>
      </w:r>
      <w:r>
        <w:rPr>
          <w:rFonts w:hint="eastAsia"/>
          <w:color w:val="000000" w:themeColor="text1"/>
          <w:highlight w:val="none"/>
          <w14:textFill>
            <w14:solidFill>
              <w14:schemeClr w14:val="tx1"/>
            </w14:solidFill>
          </w14:textFill>
        </w:rPr>
        <w:t>，承包人无需另行支付费用。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 承包人应向分包人提供一份总包合同(有关承包工程的价格内容除外)的副本或复印件。分包人应全面了解总包合同的各项规定(有关承包工程的价格内容除外)。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2.2.8.除本合同条款另有约定，分包人应履行并承担总包合同中与分包工程有关的承包人的所有义务与责任，同时应避免因分包人自身行为或疏漏造成承包人违反总包合同中约定的承包人义务的情况发生。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2.2.9.分包人须服从承包人转发的发包人有关的指令。未经承包人允许，分包人不得以任何理由与发包人发生直接书面工作联系，分包人不得直接致函发包人，也不得直接接受发包人的指令。分包人提交文件、资料由承包人审核后（2个工作日内），再由承包人报送发包人。</w:t>
      </w:r>
    </w:p>
    <w:p>
      <w:pPr>
        <w:pStyle w:val="89"/>
        <w:ind w:firstLine="420"/>
        <w:rPr>
          <w:rFonts w:ascii="Times New Roman" w:hAnsi="Times New Roman" w:eastAsia="黑体"/>
          <w:color w:val="000000" w:themeColor="text1"/>
          <w:szCs w:val="32"/>
          <w:highlight w:val="none"/>
          <w14:textFill>
            <w14:solidFill>
              <w14:schemeClr w14:val="tx1"/>
            </w14:solidFill>
          </w14:textFill>
        </w:rPr>
      </w:pPr>
      <w:bookmarkStart w:id="587" w:name="_Toc44492557"/>
      <w:r>
        <w:rPr>
          <w:rFonts w:hint="eastAsia" w:ascii="仿宋_GB2312" w:hAnsi="Times New Roman" w:eastAsia="仿宋_GB2312"/>
          <w:color w:val="000000" w:themeColor="text1"/>
          <w:highlight w:val="none"/>
          <w14:textFill>
            <w14:solidFill>
              <w14:schemeClr w14:val="tx1"/>
            </w14:solidFill>
          </w14:textFill>
        </w:rPr>
        <w:t>2.</w:t>
      </w:r>
      <w:r>
        <w:rPr>
          <w:rFonts w:ascii="仿宋_GB2312" w:hAnsi="Times New Roman" w:eastAsia="仿宋_GB2312"/>
          <w:color w:val="000000" w:themeColor="text1"/>
          <w:highlight w:val="none"/>
          <w14:textFill>
            <w14:solidFill>
              <w14:schemeClr w14:val="tx1"/>
            </w14:solidFill>
          </w14:textFill>
        </w:rPr>
        <w:t>3</w:t>
      </w:r>
      <w:r>
        <w:rPr>
          <w:rFonts w:hint="eastAsia" w:ascii="Times New Roman" w:hAnsi="Times New Roman" w:eastAsia="黑体"/>
          <w:color w:val="000000" w:themeColor="text1"/>
          <w:szCs w:val="32"/>
          <w:highlight w:val="none"/>
          <w14:textFill>
            <w14:solidFill>
              <w14:schemeClr w14:val="tx1"/>
            </w14:solidFill>
          </w14:textFill>
        </w:rPr>
        <w:t>检查配合工作</w:t>
      </w:r>
      <w:bookmarkEnd w:id="587"/>
    </w:p>
    <w:p>
      <w:pPr>
        <w:pStyle w:val="52"/>
        <w:ind w:firstLine="424" w:firstLineChars="202"/>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2.3</w:t>
      </w:r>
      <w:r>
        <w:rPr>
          <w:rFonts w:hint="eastAsia"/>
          <w:color w:val="000000" w:themeColor="text1"/>
          <w:highlight w:val="none"/>
          <w14:textFill>
            <w14:solidFill>
              <w14:schemeClr w14:val="tx1"/>
            </w14:solidFill>
          </w14:textFill>
        </w:rPr>
        <w:t>.1 发包人将根据合同情况自主或引入第三方质量、安全等评估单位进行现场检查，检查内容包括但不限于现场实测实量、质量及安全风险、现场管理行为、安全文明、资料、人员等。承包人、分包人需对发包人下发的评价体系充分掌握、内部宣讲，并配合现场检查；发包人将按需对检查结果进行公布、下发整改单、排名及通报批评；必要时根据发包人的管理需要，可在通报栏处增加分包人董事长相片及姓名信息。</w:t>
      </w:r>
    </w:p>
    <w:p>
      <w:pPr>
        <w:pStyle w:val="73"/>
        <w:rPr>
          <w:color w:val="000000" w:themeColor="text1"/>
          <w:highlight w:val="none"/>
          <w14:textFill>
            <w14:solidFill>
              <w14:schemeClr w14:val="tx1"/>
            </w14:solidFill>
          </w14:textFill>
        </w:rPr>
      </w:pPr>
      <w:bookmarkStart w:id="588" w:name="_Toc91082436"/>
      <w:bookmarkStart w:id="589" w:name="_Toc16467"/>
      <w:bookmarkStart w:id="590" w:name="_Toc8075"/>
      <w:bookmarkStart w:id="591" w:name="_Toc44492558"/>
      <w:bookmarkStart w:id="592" w:name="_Toc30903"/>
      <w:bookmarkStart w:id="593" w:name="_Toc44228155"/>
      <w:bookmarkStart w:id="594" w:name="_Toc38987272"/>
      <w:r>
        <w:rPr>
          <w:rFonts w:hint="eastAsia"/>
          <w:color w:val="000000" w:themeColor="text1"/>
          <w:highlight w:val="none"/>
          <w14:textFill>
            <w14:solidFill>
              <w14:schemeClr w14:val="tx1"/>
            </w14:solidFill>
          </w14:textFill>
        </w:rPr>
        <w:t>3.监理人及造价咨询人</w:t>
      </w:r>
      <w:bookmarkEnd w:id="588"/>
      <w:bookmarkEnd w:id="589"/>
      <w:bookmarkEnd w:id="590"/>
      <w:bookmarkEnd w:id="591"/>
      <w:bookmarkEnd w:id="592"/>
      <w:bookmarkEnd w:id="593"/>
      <w:bookmarkEnd w:id="594"/>
    </w:p>
    <w:p>
      <w:pPr>
        <w:pStyle w:val="77"/>
        <w:ind w:firstLine="480"/>
        <w:rPr>
          <w:color w:val="000000" w:themeColor="text1"/>
          <w:highlight w:val="none"/>
          <w14:textFill>
            <w14:solidFill>
              <w14:schemeClr w14:val="tx1"/>
            </w14:solidFill>
          </w14:textFill>
        </w:rPr>
      </w:pPr>
      <w:bookmarkStart w:id="595" w:name="_Toc22118"/>
      <w:bookmarkStart w:id="596" w:name="_Toc20538"/>
      <w:bookmarkStart w:id="597" w:name="_Toc44492559"/>
      <w:r>
        <w:rPr>
          <w:rFonts w:hint="eastAsia"/>
          <w:color w:val="000000" w:themeColor="text1"/>
          <w:highlight w:val="none"/>
          <w14:textFill>
            <w14:solidFill>
              <w14:schemeClr w14:val="tx1"/>
            </w14:solidFill>
          </w14:textFill>
        </w:rPr>
        <w:t xml:space="preserve">3.1. </w:t>
      </w:r>
      <w:bookmarkEnd w:id="595"/>
      <w:bookmarkEnd w:id="596"/>
      <w:bookmarkEnd w:id="597"/>
      <w:r>
        <w:rPr>
          <w:rFonts w:hint="eastAsia"/>
          <w:color w:val="000000" w:themeColor="text1"/>
          <w:highlight w:val="none"/>
          <w14:textFill>
            <w14:solidFill>
              <w14:schemeClr w14:val="tx1"/>
            </w14:solidFill>
          </w14:textFill>
        </w:rPr>
        <w:t>监理人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3.1.2. 总监理工程师的姓名：</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，职务：</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，联系电话：</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3.1.3. 发包人另行委托的职权：</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3.1.4. 监理人需要取得发包人批准才能行使的其他职权为：</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 xml:space="preserve">。 </w:t>
      </w:r>
    </w:p>
    <w:p>
      <w:pPr>
        <w:pStyle w:val="77"/>
        <w:ind w:firstLine="480"/>
        <w:rPr>
          <w:color w:val="000000" w:themeColor="text1"/>
          <w:highlight w:val="none"/>
          <w14:textFill>
            <w14:solidFill>
              <w14:schemeClr w14:val="tx1"/>
            </w14:solidFill>
          </w14:textFill>
        </w:rPr>
      </w:pPr>
      <w:bookmarkStart w:id="598" w:name="_Toc44492560"/>
      <w:bookmarkStart w:id="599" w:name="_Toc17131"/>
      <w:bookmarkStart w:id="600" w:name="_Toc5085"/>
      <w:r>
        <w:rPr>
          <w:rFonts w:hint="eastAsia"/>
          <w:color w:val="000000" w:themeColor="text1"/>
          <w:highlight w:val="none"/>
          <w14:textFill>
            <w14:solidFill>
              <w14:schemeClr w14:val="tx1"/>
            </w14:solidFill>
          </w14:textFill>
        </w:rPr>
        <w:t>3.2监理人的指示</w:t>
      </w:r>
    </w:p>
    <w:p>
      <w:pPr>
        <w:pStyle w:val="77"/>
        <w:ind w:firstLine="420"/>
        <w:rPr>
          <w:rFonts w:eastAsia="仿宋_GB2312"/>
          <w:color w:val="000000" w:themeColor="text1"/>
          <w:kern w:val="0"/>
          <w:sz w:val="2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3.2.2. 补充：分包人进场后发包人应向分包人提供《监理合同》并办理收发记录。若发包人未及时向分包人提供《监理合同》的，分包人有义务根据本合同3.2条约定向发包人索要相关资料。</w:t>
      </w:r>
    </w:p>
    <w:bookmarkEnd w:id="598"/>
    <w:bookmarkEnd w:id="599"/>
    <w:bookmarkEnd w:id="600"/>
    <w:p>
      <w:pPr>
        <w:pStyle w:val="73"/>
        <w:rPr>
          <w:color w:val="000000" w:themeColor="text1"/>
          <w:highlight w:val="none"/>
          <w14:textFill>
            <w14:solidFill>
              <w14:schemeClr w14:val="tx1"/>
            </w14:solidFill>
          </w14:textFill>
        </w:rPr>
      </w:pPr>
      <w:bookmarkStart w:id="601" w:name="_Toc44492561"/>
      <w:bookmarkStart w:id="602" w:name="_Toc38987273"/>
      <w:bookmarkStart w:id="603" w:name="_Toc44228156"/>
      <w:bookmarkStart w:id="604" w:name="_Toc24371"/>
      <w:bookmarkStart w:id="605" w:name="_Toc16975"/>
      <w:bookmarkStart w:id="606" w:name="_Toc19988"/>
      <w:bookmarkStart w:id="607" w:name="_Toc91082437"/>
      <w:r>
        <w:rPr>
          <w:rFonts w:hint="eastAsia"/>
          <w:color w:val="000000" w:themeColor="text1"/>
          <w:highlight w:val="none"/>
          <w14:textFill>
            <w14:solidFill>
              <w14:schemeClr w14:val="tx1"/>
            </w14:solidFill>
          </w14:textFill>
        </w:rPr>
        <w:t>4.</w:t>
      </w:r>
      <w:bookmarkEnd w:id="601"/>
      <w:bookmarkEnd w:id="602"/>
      <w:bookmarkEnd w:id="603"/>
      <w:bookmarkEnd w:id="604"/>
      <w:bookmarkEnd w:id="605"/>
      <w:bookmarkEnd w:id="606"/>
      <w:r>
        <w:rPr>
          <w:rFonts w:hint="eastAsia"/>
          <w:color w:val="000000" w:themeColor="text1"/>
          <w:highlight w:val="none"/>
          <w14:textFill>
            <w14:solidFill>
              <w14:schemeClr w14:val="tx1"/>
            </w14:solidFill>
          </w14:textFill>
        </w:rPr>
        <w:t>分包人</w:t>
      </w:r>
      <w:bookmarkEnd w:id="607"/>
    </w:p>
    <w:p>
      <w:pPr>
        <w:pStyle w:val="77"/>
        <w:ind w:firstLine="480"/>
        <w:rPr>
          <w:color w:val="000000" w:themeColor="text1"/>
          <w:highlight w:val="none"/>
          <w14:textFill>
            <w14:solidFill>
              <w14:schemeClr w14:val="tx1"/>
            </w14:solidFill>
          </w14:textFill>
        </w:rPr>
      </w:pPr>
      <w:bookmarkStart w:id="608" w:name="_Toc12934"/>
      <w:bookmarkStart w:id="609" w:name="_Toc19631"/>
      <w:bookmarkStart w:id="610" w:name="_Toc44492562"/>
      <w:r>
        <w:rPr>
          <w:rFonts w:hint="eastAsia"/>
          <w:color w:val="000000" w:themeColor="text1"/>
          <w:highlight w:val="none"/>
          <w14:textFill>
            <w14:solidFill>
              <w14:schemeClr w14:val="tx1"/>
            </w14:solidFill>
          </w14:textFill>
        </w:rPr>
        <w:t xml:space="preserve">4.1 </w:t>
      </w:r>
      <w:bookmarkEnd w:id="608"/>
      <w:bookmarkEnd w:id="609"/>
      <w:r>
        <w:rPr>
          <w:rFonts w:hint="eastAsia"/>
          <w:color w:val="000000" w:themeColor="text1"/>
          <w:highlight w:val="none"/>
          <w14:textFill>
            <w14:solidFill>
              <w14:schemeClr w14:val="tx1"/>
            </w14:solidFill>
          </w14:textFill>
        </w:rPr>
        <w:t>分包人的一般</w:t>
      </w:r>
      <w:r>
        <w:rPr>
          <w:color w:val="000000" w:themeColor="text1"/>
          <w:highlight w:val="none"/>
          <w14:textFill>
            <w14:solidFill>
              <w14:schemeClr w14:val="tx1"/>
            </w14:solidFill>
          </w14:textFill>
        </w:rPr>
        <w:t>义务</w:t>
      </w:r>
      <w:bookmarkEnd w:id="610"/>
    </w:p>
    <w:p>
      <w:pPr>
        <w:pStyle w:val="75"/>
        <w:ind w:firstLine="422"/>
        <w:rPr>
          <w:color w:val="000000" w:themeColor="text1"/>
          <w:highlight w:val="none"/>
          <w14:textFill>
            <w14:solidFill>
              <w14:schemeClr w14:val="tx1"/>
            </w14:solidFill>
          </w14:textFill>
        </w:rPr>
      </w:pPr>
      <w:bookmarkStart w:id="611" w:name="_Toc19231"/>
      <w:r>
        <w:rPr>
          <w:rFonts w:hint="eastAsia"/>
          <w:color w:val="000000" w:themeColor="text1"/>
          <w:highlight w:val="none"/>
          <w14:textFill>
            <w14:solidFill>
              <w14:schemeClr w14:val="tx1"/>
            </w14:solidFill>
          </w14:textFill>
        </w:rPr>
        <w:t>4.1.1.完成以下各项承包工作：</w:t>
      </w:r>
      <w:bookmarkEnd w:id="61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3）对分包人工作的补充约定如下：</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分包人义务补充约定：</w:t>
      </w:r>
    </w:p>
    <w:p>
      <w:pPr>
        <w:pStyle w:val="52"/>
        <w:spacing w:before="31" w:after="31"/>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按照合同约定的标准、规范、工程的功能、规模、考核目标和竣工日期，完成</w:t>
      </w:r>
      <w:r>
        <w:rPr>
          <w:rFonts w:hint="eastAsia"/>
          <w:color w:val="000000" w:themeColor="text1"/>
          <w:highlight w:val="none"/>
          <w14:textFill>
            <w14:solidFill>
              <w14:schemeClr w14:val="tx1"/>
            </w14:solidFill>
          </w14:textFill>
        </w:rPr>
        <w:t>本合同承包范围内的深化</w:t>
      </w:r>
      <w:r>
        <w:rPr>
          <w:color w:val="000000" w:themeColor="text1"/>
          <w:highlight w:val="none"/>
          <w14:textFill>
            <w14:solidFill>
              <w14:schemeClr w14:val="tx1"/>
            </w14:solidFill>
          </w14:textFill>
        </w:rPr>
        <w:t>设计、采购、施工、调试、竣工试验和竣工</w:t>
      </w:r>
      <w:r>
        <w:rPr>
          <w:rFonts w:hint="eastAsia"/>
          <w:color w:val="000000" w:themeColor="text1"/>
          <w:highlight w:val="none"/>
          <w14:textFill>
            <w14:solidFill>
              <w14:schemeClr w14:val="tx1"/>
            </w14:solidFill>
          </w14:textFill>
        </w:rPr>
        <w:t>备案、质量保修等</w:t>
      </w:r>
      <w:r>
        <w:rPr>
          <w:color w:val="000000" w:themeColor="text1"/>
          <w:highlight w:val="none"/>
          <w14:textFill>
            <w14:solidFill>
              <w14:schemeClr w14:val="tx1"/>
            </w14:solidFill>
          </w14:textFill>
        </w:rPr>
        <w:t>。</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分包人在施工前应仔细核对发包人</w:t>
      </w:r>
      <w:r>
        <w:rPr>
          <w:rFonts w:hint="eastAsia" w:eastAsia="仿宋_GB2312"/>
          <w:color w:val="000000" w:themeColor="text1"/>
          <w:kern w:val="0"/>
          <w:szCs w:val="32"/>
          <w:highlight w:val="none"/>
          <w14:textFill>
            <w14:solidFill>
              <w14:schemeClr w14:val="tx1"/>
            </w14:solidFill>
          </w14:textFill>
        </w:rPr>
        <w:t>通过</w:t>
      </w:r>
      <w:r>
        <w:rPr>
          <w:rFonts w:eastAsia="仿宋_GB2312"/>
          <w:color w:val="000000" w:themeColor="text1"/>
          <w:kern w:val="0"/>
          <w:szCs w:val="32"/>
          <w:highlight w:val="none"/>
          <w14:textFill>
            <w14:solidFill>
              <w14:schemeClr w14:val="tx1"/>
            </w14:solidFill>
          </w14:textFill>
        </w:rPr>
        <w:t>承包人提供的图纸</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并深刻消化</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领会和接受设计图纸的设计意图</w:t>
      </w:r>
      <w:r>
        <w:rPr>
          <w:rFonts w:hint="eastAsia" w:eastAsia="仿宋_GB2312"/>
          <w:color w:val="000000" w:themeColor="text1"/>
          <w:kern w:val="0"/>
          <w:szCs w:val="32"/>
          <w:highlight w:val="none"/>
          <w14:textFill>
            <w14:solidFill>
              <w14:schemeClr w14:val="tx1"/>
            </w14:solidFill>
          </w14:textFill>
        </w:rPr>
        <w:t>。对于设计图纸存在的矛盾、缺陷或错误之处应及时通过承包人书面告知发包人并等待发包人指示，若分包人未等待承包人指示或不按承包人指示执行，由此造成的工期延误及返工费用由分包人承担。</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ascii="仿宋" w:hAnsi="仿宋" w:eastAsia="仿宋" w:cs="仿宋"/>
          <w:color w:val="000000" w:themeColor="text1"/>
          <w:kern w:val="0"/>
          <w:szCs w:val="32"/>
          <w:highlight w:val="none"/>
          <w14:textFill>
            <w14:solidFill>
              <w14:schemeClr w14:val="tx1"/>
            </w14:solidFill>
          </w14:textFill>
        </w:rPr>
        <w:t>②</w:t>
      </w:r>
      <w:r>
        <w:rPr>
          <w:rFonts w:hint="eastAsia" w:eastAsia="仿宋_GB2312"/>
          <w:color w:val="000000" w:themeColor="text1"/>
          <w:kern w:val="0"/>
          <w:szCs w:val="32"/>
          <w:highlight w:val="none"/>
          <w14:textFill>
            <w14:solidFill>
              <w14:schemeClr w14:val="tx1"/>
            </w14:solidFill>
          </w14:textFill>
        </w:rPr>
        <w:t>分包人需对本项目成立专门的领导小组和技术小组，领导小组需由分包人的公司领导任组长、技术小组由分包人的总工或副总工任组长。分包人所提供的施工图纸审核意见、深化图纸、施工组织方案、安全文明措施方案需由技术小组审批后方能通过承包人审核后提供给发包人，领导小组负责有关项目重大事宜的协调工作（含安全事故、进度滞后、质量事故等）；分包人进场后一个月内需提交加盖公章的领导小组及技术小组名单（包含联系方式）通过承包人给发包人。</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ascii="仿宋" w:hAnsi="仿宋" w:eastAsia="仿宋" w:cs="仿宋"/>
          <w:color w:val="000000" w:themeColor="text1"/>
          <w:kern w:val="0"/>
          <w:szCs w:val="32"/>
          <w:highlight w:val="none"/>
          <w14:textFill>
            <w14:solidFill>
              <w14:schemeClr w14:val="tx1"/>
            </w14:solidFill>
          </w14:textFill>
        </w:rPr>
        <w:t>③</w:t>
      </w:r>
      <w:r>
        <w:rPr>
          <w:rFonts w:hint="eastAsia" w:eastAsia="仿宋_GB2312"/>
          <w:color w:val="000000" w:themeColor="text1"/>
          <w:kern w:val="0"/>
          <w:szCs w:val="32"/>
          <w:highlight w:val="none"/>
          <w14:textFill>
            <w14:solidFill>
              <w14:schemeClr w14:val="tx1"/>
            </w14:solidFill>
          </w14:textFill>
        </w:rPr>
        <w:t>负责协调处理各方面关系；为确保项目顺利开工和施工，分包人应主动协调与各级政府、政府各级主管部门（如需）、周边单位、周边居民的关系；主动协助承包人完成各类报批报建手续；主动协调解决渣场、道路运输、临时道路、临时营地建设、临时用电、用水等问题，确保工程顺利实施。</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ascii="仿宋" w:hAnsi="仿宋" w:eastAsia="仿宋"/>
          <w:color w:val="000000" w:themeColor="text1"/>
          <w:kern w:val="0"/>
          <w:szCs w:val="32"/>
          <w:highlight w:val="none"/>
          <w14:textFill>
            <w14:solidFill>
              <w14:schemeClr w14:val="tx1"/>
            </w14:solidFill>
          </w14:textFill>
        </w:rPr>
        <w:t>④</w:t>
      </w:r>
      <w:r>
        <w:rPr>
          <w:rFonts w:hint="eastAsia" w:eastAsia="仿宋_GB2312"/>
          <w:color w:val="000000" w:themeColor="text1"/>
          <w:kern w:val="0"/>
          <w:szCs w:val="32"/>
          <w:highlight w:val="none"/>
          <w14:textFill>
            <w14:solidFill>
              <w14:schemeClr w14:val="tx1"/>
            </w14:solidFill>
          </w14:textFill>
        </w:rPr>
        <w:t>分包人需对本工程成立专门的实测实量小组（如需），对需实测实量的每道工序及时进行实测实量并保留完整测量数据。实测实量完成后3天内需将测量结果上墙并将书面测量成果通过承包人反馈至监理单位与发包人，监理单位、第三方评估单位及发包人对测量成果文件通过承包人提出整改意见的，分包人应在限定时间内完成整改。</w:t>
      </w:r>
    </w:p>
    <w:p>
      <w:pPr>
        <w:pStyle w:val="75"/>
        <w:ind w:firstLine="42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4.1.4.负责施工场地及其周边环境与生态的保护工作</w:t>
      </w:r>
    </w:p>
    <w:p>
      <w:pPr>
        <w:spacing w:before="31" w:after="31"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4）对分包人的补充约定：</w:t>
      </w:r>
      <w:r>
        <w:rPr>
          <w:rFonts w:hint="eastAsia" w:eastAsia="仿宋_GB2312"/>
          <w:color w:val="000000" w:themeColor="text1"/>
          <w:kern w:val="0"/>
          <w:szCs w:val="32"/>
          <w:highlight w:val="none"/>
          <w:u w:val="single"/>
          <w14:textFill>
            <w14:solidFill>
              <w14:schemeClr w14:val="tx1"/>
            </w14:solidFill>
          </w14:textFill>
        </w:rPr>
        <w:t xml:space="preserve"> </w:t>
      </w:r>
      <w:r>
        <w:rPr>
          <w:rFonts w:hint="eastAsia" w:ascii="Times New Roman" w:hAnsi="Times New Roman" w:eastAsia="仿宋_GB2312"/>
          <w:color w:val="000000" w:themeColor="text1"/>
          <w:kern w:val="0"/>
          <w:szCs w:val="32"/>
          <w:highlight w:val="none"/>
          <w:u w:val="single"/>
          <w14:textFill>
            <w14:solidFill>
              <w14:schemeClr w14:val="tx1"/>
            </w14:solidFill>
          </w14:textFill>
        </w:rPr>
        <w:t>分包人应保证其施工范围内的场地清洁符合环境卫生管理的有关要求，做到工完场清，即建筑垃圾须及时清运至承包人指定堆放地点；需服从承包人相关现场统一管理要求。分包人现场垃圾清理不及时、不合格且经催告不及时改正的，监理人或承包人有权要求承包人委托第三方进行清理，同时分包人应按本合同专用条款第2</w:t>
      </w:r>
      <w:r>
        <w:rPr>
          <w:rFonts w:ascii="Times New Roman" w:hAnsi="Times New Roman" w:eastAsia="仿宋_GB2312"/>
          <w:color w:val="000000" w:themeColor="text1"/>
          <w:kern w:val="0"/>
          <w:szCs w:val="32"/>
          <w:highlight w:val="none"/>
          <w:u w:val="single"/>
          <w14:textFill>
            <w14:solidFill>
              <w14:schemeClr w14:val="tx1"/>
            </w14:solidFill>
          </w14:textFill>
        </w:rPr>
        <w:t>2条规定承担第三方清理费用并承担违约责任</w:t>
      </w:r>
      <w:r>
        <w:rPr>
          <w:rFonts w:hint="eastAsia" w:eastAsia="仿宋_GB2312"/>
          <w:color w:val="000000" w:themeColor="text1"/>
          <w:kern w:val="0"/>
          <w:szCs w:val="32"/>
          <w:highlight w:val="none"/>
          <w14:textFill>
            <w14:solidFill>
              <w14:schemeClr w14:val="tx1"/>
            </w14:solidFill>
          </w14:textFill>
        </w:rPr>
        <w:t>。</w:t>
      </w:r>
    </w:p>
    <w:p>
      <w:pPr>
        <w:adjustRightInd w:val="0"/>
        <w:snapToGrid w:val="0"/>
        <w:spacing w:line="360" w:lineRule="auto"/>
        <w:ind w:firstLine="422" w:firstLineChars="200"/>
        <w:rPr>
          <w:rFonts w:ascii="Times New Roman" w:hAnsi="Times New Roman"/>
          <w:b/>
          <w:color w:val="000000" w:themeColor="text1"/>
          <w:kern w:val="0"/>
          <w:szCs w:val="32"/>
          <w:highlight w:val="none"/>
          <w14:textFill>
            <w14:solidFill>
              <w14:schemeClr w14:val="tx1"/>
            </w14:solidFill>
          </w14:textFill>
        </w:rPr>
      </w:pPr>
      <w:r>
        <w:rPr>
          <w:rFonts w:hint="eastAsia" w:ascii="Times New Roman" w:hAnsi="Times New Roman"/>
          <w:b/>
          <w:color w:val="000000" w:themeColor="text1"/>
          <w:kern w:val="0"/>
          <w:szCs w:val="32"/>
          <w:highlight w:val="none"/>
          <w14:textFill>
            <w14:solidFill>
              <w14:schemeClr w14:val="tx1"/>
            </w14:solidFill>
          </w14:textFill>
        </w:rPr>
        <w:t>4.1.6.为他人提供方便</w:t>
      </w:r>
    </w:p>
    <w:p>
      <w:pPr>
        <w:adjustRightInd w:val="0"/>
        <w:snapToGrid w:val="0"/>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5）对分包人补充约定：本工程验收且移交后，分包人或其分包人的施工人员、材料、设备必须在 1</w:t>
      </w:r>
      <w:r>
        <w:rPr>
          <w:rFonts w:eastAsia="仿宋_GB2312"/>
          <w:color w:val="000000" w:themeColor="text1"/>
          <w:kern w:val="0"/>
          <w:szCs w:val="32"/>
          <w:highlight w:val="none"/>
          <w14:textFill>
            <w14:solidFill>
              <w14:schemeClr w14:val="tx1"/>
            </w14:solidFill>
          </w14:textFill>
        </w:rPr>
        <w:t>5</w:t>
      </w:r>
      <w:r>
        <w:rPr>
          <w:rFonts w:hint="eastAsia" w:eastAsia="仿宋_GB2312"/>
          <w:color w:val="000000" w:themeColor="text1"/>
          <w:kern w:val="0"/>
          <w:szCs w:val="32"/>
          <w:highlight w:val="none"/>
          <w14:textFill>
            <w14:solidFill>
              <w14:schemeClr w14:val="tx1"/>
            </w14:solidFill>
          </w14:textFill>
        </w:rPr>
        <w:t xml:space="preserve"> 天内全部退出现场，分包人每延迟一天退场应按本合同专用条款第22.1.9.2条约定向承包人缴纳违约金。</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双方协议终止合同或任何一方解除合同的，分包人或其分包人的施工人员、材料、设备必须在 15 天内全部退出现场，分包人每延迟一天退场应按本合同专用条款第22.1.9.2条约定向承包人缴纳违约金。</w:t>
      </w:r>
    </w:p>
    <w:p>
      <w:pPr>
        <w:pStyle w:val="75"/>
        <w:ind w:firstLine="422"/>
        <w:rPr>
          <w:color w:val="000000" w:themeColor="text1"/>
          <w:highlight w:val="none"/>
          <w14:textFill>
            <w14:solidFill>
              <w14:schemeClr w14:val="tx1"/>
            </w14:solidFill>
          </w14:textFill>
        </w:rPr>
      </w:pPr>
      <w:bookmarkStart w:id="612" w:name="_Toc29178"/>
      <w:r>
        <w:rPr>
          <w:rFonts w:hint="eastAsia"/>
          <w:color w:val="000000" w:themeColor="text1"/>
          <w:highlight w:val="none"/>
          <w14:textFill>
            <w14:solidFill>
              <w14:schemeClr w14:val="tx1"/>
            </w14:solidFill>
          </w14:textFill>
        </w:rPr>
        <w:t>4.1.7. 工程的维护和照管</w:t>
      </w:r>
      <w:bookmarkEnd w:id="61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1）场地移交前完工工程成品保护的特殊要求及费用承担，该条通用条款对应内容修订为： 本</w:t>
      </w:r>
      <w:r>
        <w:rPr>
          <w:rFonts w:hint="eastAsia"/>
          <w:color w:val="000000" w:themeColor="text1"/>
          <w:highlight w:val="none"/>
          <w:u w:val="single"/>
          <w14:textFill>
            <w14:solidFill>
              <w14:schemeClr w14:val="tx1"/>
            </w14:solidFill>
          </w14:textFill>
        </w:rPr>
        <w:t>工程验收合格及场地移交前，分包人负责工程（包括发包人提供的材料和工程设备及发包人采购安放在现场的办公家具等）的照管和维护工作。保护期间发生损坏，分包人自费予以修复。</w:t>
      </w:r>
    </w:p>
    <w:p>
      <w:pPr>
        <w:pStyle w:val="52"/>
        <w:ind w:firstLine="422"/>
        <w:rPr>
          <w:b/>
          <w:color w:val="000000" w:themeColor="text1"/>
          <w:highlight w:val="none"/>
          <w14:textFill>
            <w14:solidFill>
              <w14:schemeClr w14:val="tx1"/>
            </w14:solidFill>
          </w14:textFill>
        </w:rPr>
      </w:pPr>
      <w:r>
        <w:rPr>
          <w:b/>
          <w:color w:val="000000" w:themeColor="text1"/>
          <w:highlight w:val="none"/>
          <w14:textFill>
            <w14:solidFill>
              <w14:schemeClr w14:val="tx1"/>
            </w14:solidFill>
          </w14:textFill>
        </w:rPr>
        <w:t>4.1.9.</w:t>
      </w:r>
      <w:r>
        <w:rPr>
          <w:rFonts w:hint="eastAsia"/>
          <w:b/>
          <w:color w:val="000000" w:themeColor="text1"/>
          <w:highlight w:val="none"/>
          <w14:textFill>
            <w14:solidFill>
              <w14:schemeClr w14:val="tx1"/>
            </w14:solidFill>
          </w14:textFill>
        </w:rPr>
        <w:t xml:space="preserve"> 分包人的其它义务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6）分包人的其它义务补充约定如下：</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分包人在进场前应与承包人签订施工总承包管理配合协议，承包人应向专业工程分包人提供必要的施工条件与配合，专业工程分包人应服从承包人现场管理要求。</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分包人应及时支付其采购的材料、设备等款项，如因分包人拖欠支付该等款项导致影响工程进度或影响本工程正常运行，或发生供货单位向承包人或发包人或有关单位投诉的情况，承包人有权代为垫付材料、设备款项，该等垫付款项从应付合同款中抵扣。</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③</w:t>
      </w:r>
      <w:r>
        <w:rPr>
          <w:rFonts w:hint="eastAsia"/>
          <w:color w:val="000000" w:themeColor="text1"/>
          <w:highlight w:val="none"/>
          <w14:textFill>
            <w14:solidFill>
              <w14:schemeClr w14:val="tx1"/>
            </w14:solidFill>
          </w14:textFill>
        </w:rPr>
        <w:t>由于分包人原因发生安全责任事故导致的一切责任及费用均由分包人承担。对该项赔偿责任，分包人不愿承担或不向相关方支付的，承包人有权直接从工程款中直接扣取并代为向相关方支付。若承包人先行赔付或承担连带责任或遭致处罚的，承包人因此而支付的全部款项均由分包人予以赔偿（承包人亦有权从合同价款或履约担保金额等款项中扣取）并按本专用合同条款第22.1.9.4条约定要求分包人支付违约金。</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④</w:t>
      </w:r>
      <w:r>
        <w:rPr>
          <w:rFonts w:hint="eastAsia"/>
          <w:color w:val="000000" w:themeColor="text1"/>
          <w:highlight w:val="none"/>
          <w14:textFill>
            <w14:solidFill>
              <w14:schemeClr w14:val="tx1"/>
            </w14:solidFill>
          </w14:textFill>
        </w:rPr>
        <w:t>分包人应执行承包人与监理人相关管理规定和指令，包括但不限于安全管理、质量管理、进度管理、成本管理等全部要求，否则应按本专用合同条款第22.1.9.5条约定承担违约责任。</w:t>
      </w:r>
    </w:p>
    <w:p>
      <w:pPr>
        <w:pStyle w:val="52"/>
        <w:ind w:firstLine="420"/>
        <w:rPr>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⑤</w:t>
      </w:r>
      <w:r>
        <w:rPr>
          <w:color w:val="000000" w:themeColor="text1"/>
          <w:highlight w:val="none"/>
          <w14:textFill>
            <w14:solidFill>
              <w14:schemeClr w14:val="tx1"/>
            </w14:solidFill>
          </w14:textFill>
        </w:rPr>
        <w:t>当监理</w:t>
      </w:r>
      <w:r>
        <w:rPr>
          <w:rFonts w:hint="eastAsia"/>
          <w:color w:val="000000" w:themeColor="text1"/>
          <w:highlight w:val="none"/>
          <w14:textFill>
            <w14:solidFill>
              <w14:schemeClr w14:val="tx1"/>
            </w14:solidFill>
          </w14:textFill>
        </w:rPr>
        <w:t>人</w:t>
      </w:r>
      <w:r>
        <w:rPr>
          <w:color w:val="000000" w:themeColor="text1"/>
          <w:highlight w:val="none"/>
          <w14:textFill>
            <w14:solidFill>
              <w14:schemeClr w14:val="tx1"/>
            </w14:solidFill>
          </w14:textFill>
        </w:rPr>
        <w:t>或</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提出分包人施工作业面需增加作业工人或机械</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增加临时</w:t>
      </w:r>
      <w:r>
        <w:rPr>
          <w:rFonts w:hint="eastAsia"/>
          <w:color w:val="000000" w:themeColor="text1"/>
          <w:highlight w:val="none"/>
          <w14:textFill>
            <w14:solidFill>
              <w14:schemeClr w14:val="tx1"/>
            </w14:solidFill>
          </w14:textFill>
        </w:rPr>
        <w:t>安</w:t>
      </w:r>
      <w:r>
        <w:rPr>
          <w:color w:val="000000" w:themeColor="text1"/>
          <w:highlight w:val="none"/>
          <w14:textFill>
            <w14:solidFill>
              <w14:schemeClr w14:val="tx1"/>
            </w14:solidFill>
          </w14:textFill>
        </w:rPr>
        <w:t>全防护通道</w:t>
      </w:r>
      <w:r>
        <w:rPr>
          <w:rFonts w:hint="eastAsia"/>
          <w:color w:val="000000" w:themeColor="text1"/>
          <w:highlight w:val="none"/>
          <w14:textFill>
            <w14:solidFill>
              <w14:schemeClr w14:val="tx1"/>
            </w14:solidFill>
          </w14:textFill>
        </w:rPr>
        <w:t>的要求时，分包人应当按指令要求积极配合实施。</w:t>
      </w:r>
    </w:p>
    <w:p>
      <w:pPr>
        <w:pStyle w:val="52"/>
        <w:ind w:firstLine="420"/>
        <w:rPr>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⑥</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应当与</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分别签署安全管理协议</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质量管理协议</w:t>
      </w:r>
      <w:r>
        <w:rPr>
          <w:rFonts w:hint="eastAsia"/>
          <w:color w:val="000000" w:themeColor="text1"/>
          <w:highlight w:val="none"/>
          <w14:textFill>
            <w14:solidFill>
              <w14:schemeClr w14:val="tx1"/>
            </w14:solidFill>
          </w14:textFill>
        </w:rPr>
        <w:t>、现场管理协议、农民工工资支付协议等，并服从承包人现场管理；若需签署分包人、承包人、发包人三方协议的，分包人应当积极配合签署；若需与承包人签署农民工工资支付协议的，分包人应当积极配合签署；因分包人原因前</w:t>
      </w:r>
      <w:r>
        <w:rPr>
          <w:color w:val="000000" w:themeColor="text1"/>
          <w:highlight w:val="none"/>
          <w14:textFill>
            <w14:solidFill>
              <w14:schemeClr w14:val="tx1"/>
            </w14:solidFill>
          </w14:textFill>
        </w:rPr>
        <w:t>述协议签署不及时而</w:t>
      </w:r>
      <w:r>
        <w:rPr>
          <w:rFonts w:hint="eastAsia"/>
          <w:color w:val="000000" w:themeColor="text1"/>
          <w:highlight w:val="none"/>
          <w14:textFill>
            <w14:solidFill>
              <w14:schemeClr w14:val="tx1"/>
            </w14:solidFill>
          </w14:textFill>
        </w:rPr>
        <w:t>导致发包人遭受损失的，分包人应承担补偿责任。</w:t>
      </w:r>
    </w:p>
    <w:p>
      <w:pPr>
        <w:pStyle w:val="52"/>
        <w:ind w:firstLine="422"/>
        <w:rPr>
          <w:rFonts w:ascii="仿宋_GB2312"/>
          <w:b/>
          <w:color w:val="000000" w:themeColor="text1"/>
          <w:highlight w:val="none"/>
          <w14:textFill>
            <w14:solidFill>
              <w14:schemeClr w14:val="tx1"/>
            </w14:solidFill>
          </w14:textFill>
        </w:rPr>
      </w:pPr>
      <w:r>
        <w:rPr>
          <w:rFonts w:hint="eastAsia" w:ascii="仿宋_GB2312"/>
          <w:b/>
          <w:color w:val="000000" w:themeColor="text1"/>
          <w:highlight w:val="none"/>
          <w14:textFill>
            <w14:solidFill>
              <w14:schemeClr w14:val="tx1"/>
            </w14:solidFill>
          </w14:textFill>
        </w:rPr>
        <w:t>⑦分包人应配合承包人和发包人在节假日的施工计划与安排。</w:t>
      </w:r>
    </w:p>
    <w:p>
      <w:pPr>
        <w:pStyle w:val="52"/>
        <w:ind w:firstLine="422"/>
        <w:rPr>
          <w:rFonts w:ascii="仿宋" w:hAnsi="仿宋" w:eastAsia="仿宋"/>
          <w:b/>
          <w:color w:val="000000" w:themeColor="text1"/>
          <w:highlight w:val="none"/>
          <w14:textFill>
            <w14:solidFill>
              <w14:schemeClr w14:val="tx1"/>
            </w14:solidFill>
          </w14:textFill>
        </w:rPr>
      </w:pPr>
      <w:r>
        <w:rPr>
          <w:rFonts w:hint="eastAsia" w:ascii="仿宋" w:hAnsi="仿宋" w:eastAsia="仿宋"/>
          <w:b/>
          <w:color w:val="000000" w:themeColor="text1"/>
          <w:highlight w:val="none"/>
          <w14:textFill>
            <w14:solidFill>
              <w14:schemeClr w14:val="tx1"/>
            </w14:solidFill>
          </w14:textFill>
        </w:rPr>
        <w:t>⑧合同签订后30日历天内，分包人应向承包人提交本工程的的安全文明施工费的押金，押金金额为本合同暂定金额的1%计取且总金额不超过5万元。押金如因扣款等原因减少，分包人须按上述要求补足。</w:t>
      </w:r>
    </w:p>
    <w:p>
      <w:pPr>
        <w:pStyle w:val="52"/>
        <w:ind w:firstLine="422"/>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4.1.10 本项目列入分包人的公司总经理项目办公会(如有)议程，且分包人项目部应该每月不少于1次与分包人的公司总经理全面汇报一次项目情况（进度、质量、安全及资源投入），并将会议纪要或备忘录通过承包人报备给发包人（项目公司），有未报备情况的，分包人承担5000元/次违约责任。</w:t>
      </w:r>
    </w:p>
    <w:p>
      <w:pPr>
        <w:pStyle w:val="77"/>
        <w:ind w:firstLine="480"/>
        <w:rPr>
          <w:color w:val="000000" w:themeColor="text1"/>
          <w:highlight w:val="none"/>
          <w14:textFill>
            <w14:solidFill>
              <w14:schemeClr w14:val="tx1"/>
            </w14:solidFill>
          </w14:textFill>
        </w:rPr>
      </w:pPr>
      <w:bookmarkStart w:id="613" w:name="_Toc44492563"/>
      <w:bookmarkStart w:id="614" w:name="_Toc10013"/>
      <w:bookmarkStart w:id="615" w:name="_Toc9254"/>
      <w:r>
        <w:rPr>
          <w:rFonts w:hint="eastAsia"/>
          <w:color w:val="000000" w:themeColor="text1"/>
          <w:highlight w:val="none"/>
          <w14:textFill>
            <w14:solidFill>
              <w14:schemeClr w14:val="tx1"/>
            </w14:solidFill>
          </w14:textFill>
        </w:rPr>
        <w:t>4.2. 履约担保</w:t>
      </w:r>
      <w:bookmarkEnd w:id="613"/>
      <w:bookmarkEnd w:id="614"/>
      <w:bookmarkEnd w:id="61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4.2.3.履约保函的担保额度为本合同签约合同价格的</w:t>
      </w:r>
      <w:r>
        <w:rPr>
          <w:rFonts w:hint="eastAsia"/>
          <w:color w:val="000000" w:themeColor="text1"/>
          <w:highlight w:val="none"/>
          <w:u w:val="single"/>
          <w14:textFill>
            <w14:solidFill>
              <w14:schemeClr w14:val="tx1"/>
            </w14:solidFill>
          </w14:textFill>
        </w:rPr>
        <w:t xml:space="preserve"> </w:t>
      </w:r>
      <w:r>
        <w:rPr>
          <w:color w:val="000000" w:themeColor="text1"/>
          <w:highlight w:val="none"/>
          <w:u w:val="single"/>
          <w14:textFill>
            <w14:solidFill>
              <w14:schemeClr w14:val="tx1"/>
            </w14:solidFill>
          </w14:textFill>
        </w:rPr>
        <w:t>10</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分包人应向承包人提供履约保函，履约担保的格式见附件《履约保函》。分包人应按本合同所附履约保函格式，在合同签订后30天内向承包人提供不可撤销银行履约保函，其对承包人的保障不得低于合同所附履约保函格式的要求。履约保函的有效期从合同生效之日起至合同项下工程竣工验收合格、结算完成且工程交付发包人（以时间较晚者为准）后第30天止。</w:t>
      </w:r>
    </w:p>
    <w:p>
      <w:pPr>
        <w:pStyle w:val="52"/>
        <w:ind w:firstLine="420"/>
        <w:rPr>
          <w:color w:val="000000" w:themeColor="text1"/>
          <w:highlight w:val="none"/>
          <w14:textFill>
            <w14:solidFill>
              <w14:schemeClr w14:val="tx1"/>
            </w14:solidFill>
          </w14:textFill>
        </w:rPr>
      </w:pPr>
      <w:r>
        <w:rPr>
          <w:rFonts w:hint="eastAsia" w:hAnsi="宋体"/>
          <w:color w:val="000000" w:themeColor="text1"/>
          <w:szCs w:val="24"/>
          <w:highlight w:val="none"/>
          <w:lang w:val="zh-CN"/>
          <w14:textFill>
            <w14:solidFill>
              <w14:schemeClr w14:val="tx1"/>
            </w14:solidFill>
          </w14:textFill>
        </w:rPr>
        <w:t>4</w:t>
      </w:r>
      <w:r>
        <w:rPr>
          <w:rFonts w:hAnsi="宋体"/>
          <w:color w:val="000000" w:themeColor="text1"/>
          <w:szCs w:val="24"/>
          <w:highlight w:val="none"/>
          <w:lang w:val="zh-CN"/>
          <w14:textFill>
            <w14:solidFill>
              <w14:schemeClr w14:val="tx1"/>
            </w14:solidFill>
          </w14:textFill>
        </w:rPr>
        <w:t>.2.</w:t>
      </w:r>
      <w:r>
        <w:rPr>
          <w:rFonts w:hint="eastAsia" w:hAnsi="宋体"/>
          <w:color w:val="000000" w:themeColor="text1"/>
          <w:szCs w:val="24"/>
          <w:highlight w:val="none"/>
          <w14:textFill>
            <w14:solidFill>
              <w14:schemeClr w14:val="tx1"/>
            </w14:solidFill>
          </w14:textFill>
        </w:rPr>
        <w:t>4</w:t>
      </w:r>
      <w:r>
        <w:rPr>
          <w:rFonts w:hAnsi="宋体"/>
          <w:color w:val="000000" w:themeColor="text1"/>
          <w:szCs w:val="24"/>
          <w:highlight w:val="none"/>
          <w:lang w:val="zh-CN"/>
          <w14:textFill>
            <w14:solidFill>
              <w14:schemeClr w14:val="tx1"/>
            </w14:solidFill>
          </w14:textFill>
        </w:rPr>
        <w:t xml:space="preserve"> </w:t>
      </w:r>
      <w:r>
        <w:rPr>
          <w:rFonts w:hint="eastAsia" w:hAnsi="宋体"/>
          <w:color w:val="000000" w:themeColor="text1"/>
          <w:szCs w:val="24"/>
          <w:highlight w:val="none"/>
          <w:lang w:val="zh-CN"/>
          <w14:textFill>
            <w14:solidFill>
              <w14:schemeClr w14:val="tx1"/>
            </w14:solidFill>
          </w14:textFill>
        </w:rPr>
        <w:t>分包人应承担的各项违约金、赔偿金及其他费用，承包人均有权从履约担保中直接扣除。如分包人因违约或其他原因被承包人提取履约保函的担保金额的，分包人应在接到发包人关于提取履约保函担保金额的通知后7天内补足被提取的履约担保金额，承包人亦可从应付合同价款中直接扣除相应金额补足履约担保金额。</w:t>
      </w:r>
    </w:p>
    <w:p>
      <w:pPr>
        <w:pStyle w:val="77"/>
        <w:ind w:firstLine="480"/>
        <w:rPr>
          <w:color w:val="000000" w:themeColor="text1"/>
          <w:highlight w:val="none"/>
          <w14:textFill>
            <w14:solidFill>
              <w14:schemeClr w14:val="tx1"/>
            </w14:solidFill>
          </w14:textFill>
        </w:rPr>
      </w:pPr>
      <w:bookmarkStart w:id="616" w:name="_Toc44492565"/>
      <w:bookmarkStart w:id="617" w:name="_Toc29078"/>
      <w:bookmarkStart w:id="618" w:name="_Toc15092"/>
      <w:r>
        <w:rPr>
          <w:rFonts w:hint="eastAsia"/>
          <w:color w:val="000000" w:themeColor="text1"/>
          <w:highlight w:val="none"/>
          <w14:textFill>
            <w14:solidFill>
              <w14:schemeClr w14:val="tx1"/>
            </w14:solidFill>
          </w14:textFill>
        </w:rPr>
        <w:t>4.4. 分包人项目经理</w:t>
      </w:r>
      <w:bookmarkEnd w:id="616"/>
      <w:bookmarkEnd w:id="617"/>
      <w:bookmarkEnd w:id="61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4.4.1. 分包人项目经理的姓名：</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，职务：</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，联系电话：</w:t>
      </w:r>
      <w:r>
        <w:rPr>
          <w:rFonts w:hint="eastAsia"/>
          <w:color w:val="000000" w:themeColor="text1"/>
          <w:highlight w:val="none"/>
          <w:u w:val="single"/>
          <w14:textFill>
            <w14:solidFill>
              <w14:schemeClr w14:val="tx1"/>
            </w14:solidFill>
          </w14:textFill>
        </w:rPr>
        <w:t xml:space="preserve">            </w:t>
      </w:r>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4.4.3. 对分包人项目经理的管理要求：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本合同中明确的项目经理，不得擅自变更，开工时或施工过程中若有擅自变更，则分包人应按本合同专用</w:t>
      </w:r>
      <w:r>
        <w:rPr>
          <w:color w:val="000000" w:themeColor="text1"/>
          <w:highlight w:val="none"/>
          <w14:textFill>
            <w14:solidFill>
              <w14:schemeClr w14:val="tx1"/>
            </w14:solidFill>
          </w14:textFill>
        </w:rPr>
        <w:t>条款</w:t>
      </w:r>
      <w:r>
        <w:rPr>
          <w:color w:val="000000" w:themeColor="text1"/>
          <w:szCs w:val="21"/>
          <w:highlight w:val="none"/>
          <w14:textFill>
            <w14:solidFill>
              <w14:schemeClr w14:val="tx1"/>
            </w14:solidFill>
          </w14:textFill>
        </w:rPr>
        <w:t>约定支付违约金</w:t>
      </w:r>
      <w:r>
        <w:rPr>
          <w:rFonts w:hint="eastAsia"/>
          <w:color w:val="000000" w:themeColor="text1"/>
          <w:highlight w:val="none"/>
          <w14:textFill>
            <w14:solidFill>
              <w14:schemeClr w14:val="tx1"/>
            </w14:solidFill>
          </w14:textFill>
        </w:rPr>
        <w:t>。同时，承包人亦有权选择解除本合同。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对分包人项目经理的其他管理要求：</w:t>
      </w:r>
      <w:r>
        <w:rPr>
          <w:rFonts w:hint="eastAsia"/>
          <w:color w:val="000000" w:themeColor="text1"/>
          <w:highlight w:val="none"/>
          <w:u w:val="single"/>
          <w14:textFill>
            <w14:solidFill>
              <w14:schemeClr w14:val="tx1"/>
            </w14:solidFill>
          </w14:textFill>
        </w:rPr>
        <w:t xml:space="preserve">  /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.4.4. 通用条款</w:t>
      </w: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.4.4修订为</w:t>
      </w:r>
      <w:r>
        <w:rPr>
          <w:rFonts w:hint="eastAsia"/>
          <w:color w:val="000000" w:themeColor="text1"/>
          <w:highlight w:val="none"/>
          <w14:textFill>
            <w14:solidFill>
              <w14:schemeClr w14:val="tx1"/>
            </w14:solidFill>
          </w14:textFill>
        </w:rPr>
        <w:t>：分包人如需更换项目经理，应至少提前7天将备选项目经理资料报发包人，备选项目经理的资历、职称等级、过往业绩应与合同约定的要求达到同等或以上，征得承包人及发包人同意后方可更换项目经理。后任继续行使合同文件约定的前任的职权，履行前任的义务。</w:t>
      </w:r>
    </w:p>
    <w:p>
      <w:pPr>
        <w:pStyle w:val="77"/>
        <w:ind w:firstLine="480"/>
        <w:rPr>
          <w:color w:val="000000" w:themeColor="text1"/>
          <w:highlight w:val="none"/>
          <w14:textFill>
            <w14:solidFill>
              <w14:schemeClr w14:val="tx1"/>
            </w14:solidFill>
          </w14:textFill>
        </w:rPr>
      </w:pPr>
      <w:bookmarkStart w:id="619" w:name="_Toc32468"/>
      <w:bookmarkStart w:id="620" w:name="_Toc44492566"/>
      <w:bookmarkStart w:id="621" w:name="_Toc19792"/>
      <w:r>
        <w:rPr>
          <w:rFonts w:hint="eastAsia"/>
          <w:color w:val="000000" w:themeColor="text1"/>
          <w:highlight w:val="none"/>
          <w14:textFill>
            <w14:solidFill>
              <w14:schemeClr w14:val="tx1"/>
            </w14:solidFill>
          </w14:textFill>
        </w:rPr>
        <w:t>4.5 分包人人员的管理</w:t>
      </w:r>
      <w:bookmarkEnd w:id="619"/>
      <w:bookmarkEnd w:id="620"/>
      <w:bookmarkEnd w:id="62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4.5.2为完成合同约定的各项工作，分包人应向施工场地派遣或雇佣足够数量的下列人员：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分包人应按投标文件中承诺的项目团队配置标准和数量为本工程施工场地配置人员，详见本合同附件17《项目管理班子及其他管理人员配备情况表》。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4.5.6.如分包人投入的人员数量、业务水平、专业配置等不能满足工作所需时，经发包人书面同意，承包人有权要求分包人聘请符合工作所需要的工程技术管理人员作为分包人从事本工程施工管理工作的人员；所聘请工程技术管理人员的工资待遇由分包人与所聘人员协商确定，相关费用已包括在本工程合同价内，由分包人向所聘用人员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4.5.7.未经承包人同意，分包人不得擅自更换人员，因特殊情况需要更换的，分包人应至少提前7天以书面形式通过承包人向监理人与发包人提出申请，并征得发包人同意。分包人必须保证后任人员的资质、资历、业绩、实际工作能力不低于前任人员的素质。即使发包人、承包人同意更换，也不免除分包人应承担的违约责任。合同期间实际投入的管理人员替换率超过</w:t>
      </w:r>
      <w:r>
        <w:rPr>
          <w:rFonts w:hint="eastAsia"/>
          <w:color w:val="000000" w:themeColor="text1"/>
          <w:highlight w:val="none"/>
          <w:u w:val="single"/>
          <w14:textFill>
            <w14:solidFill>
              <w14:schemeClr w14:val="tx1"/>
            </w14:solidFill>
          </w14:textFill>
        </w:rPr>
        <w:t xml:space="preserve"> 30%</w:t>
      </w:r>
      <w:r>
        <w:rPr>
          <w:rFonts w:hint="eastAsia"/>
          <w:color w:val="000000" w:themeColor="text1"/>
          <w:highlight w:val="none"/>
          <w14:textFill>
            <w14:solidFill>
              <w14:schemeClr w14:val="tx1"/>
            </w14:solidFill>
          </w14:textFill>
        </w:rPr>
        <w:t>的属于违约行为，经发包人书面同意，承包人有权解除合同，分包人须按专用条款第22.1.9.1条第5）款向承包人承担违约责任。若分包人擅自更换或调走工程管理人员或工程技术人员的，每发生一次则分包人应向承包人承担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4.5.8.分包人的所有管理人员均应向发包人提供不少于一年在分包人公司的社保证明，分包人未能提供社保证明的须按本合同专用条款第22.1.9.1条1）款约定向承包人支付违约金，直到提供社保证明为止或另派管理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4.5.9.分包人参与本项目承建的主要管理人员及团队需经承包人指定的项目负责人和发包人进行专业性的面试及考核合格后才能进场，如考核面试不合格，分包人须在规定时间内通过承包人向发包人提供合格的对应岗位管理人员。分包人违约的，须按专用条款22.1向承包人承担违约责任。</w:t>
      </w:r>
    </w:p>
    <w:p>
      <w:pPr>
        <w:pStyle w:val="77"/>
        <w:ind w:firstLine="480"/>
        <w:rPr>
          <w:color w:val="000000" w:themeColor="text1"/>
          <w:highlight w:val="none"/>
          <w14:textFill>
            <w14:solidFill>
              <w14:schemeClr w14:val="tx1"/>
            </w14:solidFill>
          </w14:textFill>
        </w:rPr>
      </w:pPr>
      <w:bookmarkStart w:id="622" w:name="_Toc44492567"/>
      <w:bookmarkStart w:id="623" w:name="_Toc30996"/>
      <w:bookmarkStart w:id="624" w:name="_Toc25277"/>
      <w:r>
        <w:rPr>
          <w:rFonts w:hint="eastAsia"/>
          <w:color w:val="000000" w:themeColor="text1"/>
          <w:highlight w:val="none"/>
          <w14:textFill>
            <w14:solidFill>
              <w14:schemeClr w14:val="tx1"/>
            </w14:solidFill>
          </w14:textFill>
        </w:rPr>
        <w:t>4.6. 撤换分包人项目经理和其他人员</w:t>
      </w:r>
      <w:bookmarkEnd w:id="622"/>
      <w:bookmarkEnd w:id="623"/>
      <w:bookmarkEnd w:id="62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4.6.2. 当发包人或监理人每月有权对对分包人现场管理的项目经理及管理人员进行评分（具体评分表由发包人制定），每月评分不合格的现场管理人员进行通报批评并抄送承包人、分包人，连续两个月评分不合格的管理人员，承包人应要求分包人进行替换，分包人在收到承包人的书面</w:t>
      </w:r>
      <w:r>
        <w:rPr>
          <w:color w:val="000000" w:themeColor="text1"/>
          <w:highlight w:val="none"/>
          <w14:textFill>
            <w14:solidFill>
              <w14:schemeClr w14:val="tx1"/>
            </w14:solidFill>
          </w14:textFill>
        </w:rPr>
        <w:t>通知</w:t>
      </w:r>
      <w:r>
        <w:rPr>
          <w:rFonts w:hint="eastAsia"/>
          <w:color w:val="000000" w:themeColor="text1"/>
          <w:highlight w:val="none"/>
          <w14:textFill>
            <w14:solidFill>
              <w14:schemeClr w14:val="tx1"/>
            </w14:solidFill>
          </w14:textFill>
        </w:rPr>
        <w:t>后，应在</w:t>
      </w:r>
      <w:r>
        <w:rPr>
          <w:rFonts w:hint="eastAsia"/>
          <w:color w:val="000000" w:themeColor="text1"/>
          <w:highlight w:val="none"/>
          <w:u w:val="single"/>
          <w14:textFill>
            <w14:solidFill>
              <w14:schemeClr w14:val="tx1"/>
            </w14:solidFill>
          </w14:textFill>
        </w:rPr>
        <w:t xml:space="preserve"> 7</w:t>
      </w:r>
      <w:r>
        <w:rPr>
          <w:rFonts w:hint="eastAsia"/>
          <w:color w:val="000000" w:themeColor="text1"/>
          <w:highlight w:val="none"/>
          <w14:textFill>
            <w14:solidFill>
              <w14:schemeClr w14:val="tx1"/>
            </w14:solidFill>
          </w14:textFill>
        </w:rPr>
        <w:t>天内递交更换相关人员的相关资料，经承包人及发包人审核确认后到岗，分包人必须保证不因人员更换而使工程受到任何影响。分包人未按照承包人要求更换相关人员或更换人员不及时的，应按本合同专用条款第22.1.9.1条第</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 xml:space="preserve">）款约定向承包人支付违约金。未经承包人及发包人书面同意，分包人被更换员工不得再在本工程从事任何工作。 </w:t>
      </w:r>
    </w:p>
    <w:p>
      <w:pPr>
        <w:pStyle w:val="89"/>
        <w:ind w:firstLine="420"/>
        <w:rPr>
          <w:rFonts w:ascii="Times New Roman" w:hAnsi="Times New Roman" w:eastAsia="黑体"/>
          <w:color w:val="000000" w:themeColor="text1"/>
          <w:szCs w:val="32"/>
          <w:highlight w:val="none"/>
          <w14:textFill>
            <w14:solidFill>
              <w14:schemeClr w14:val="tx1"/>
            </w14:solidFill>
          </w14:textFill>
        </w:rPr>
      </w:pPr>
      <w:bookmarkStart w:id="625" w:name="_Toc21911"/>
      <w:bookmarkStart w:id="626" w:name="_Toc16989"/>
      <w:bookmarkStart w:id="627" w:name="_Toc44492568"/>
      <w:r>
        <w:rPr>
          <w:rFonts w:hint="eastAsia" w:ascii="Times New Roman" w:hAnsi="Times New Roman" w:eastAsia="黑体"/>
          <w:color w:val="000000" w:themeColor="text1"/>
          <w:szCs w:val="32"/>
          <w:highlight w:val="none"/>
          <w14:textFill>
            <w14:solidFill>
              <w14:schemeClr w14:val="tx1"/>
            </w14:solidFill>
          </w14:textFill>
        </w:rPr>
        <w:t>4.</w:t>
      </w:r>
      <w:r>
        <w:rPr>
          <w:rFonts w:ascii="Times New Roman" w:hAnsi="Times New Roman" w:eastAsia="黑体"/>
          <w:color w:val="000000" w:themeColor="text1"/>
          <w:szCs w:val="32"/>
          <w:highlight w:val="none"/>
          <w14:textFill>
            <w14:solidFill>
              <w14:schemeClr w14:val="tx1"/>
            </w14:solidFill>
          </w14:textFill>
        </w:rPr>
        <w:t>7.</w:t>
      </w:r>
      <w:bookmarkEnd w:id="625"/>
      <w:bookmarkEnd w:id="626"/>
      <w:r>
        <w:rPr>
          <w:rFonts w:hint="eastAsia" w:ascii="Times New Roman" w:hAnsi="Times New Roman" w:eastAsia="黑体"/>
          <w:color w:val="000000" w:themeColor="text1"/>
          <w:szCs w:val="32"/>
          <w:highlight w:val="none"/>
          <w14:textFill>
            <w14:solidFill>
              <w14:schemeClr w14:val="tx1"/>
            </w14:solidFill>
          </w14:textFill>
        </w:rPr>
        <w:t>保障分包人人</w:t>
      </w:r>
      <w:r>
        <w:rPr>
          <w:rFonts w:ascii="Times New Roman" w:hAnsi="Times New Roman" w:eastAsia="黑体"/>
          <w:color w:val="000000" w:themeColor="text1"/>
          <w:szCs w:val="32"/>
          <w:highlight w:val="none"/>
          <w14:textFill>
            <w14:solidFill>
              <w14:schemeClr w14:val="tx1"/>
            </w14:solidFill>
          </w14:textFill>
        </w:rPr>
        <w:t>员的合法权益</w:t>
      </w:r>
      <w:bookmarkEnd w:id="627"/>
    </w:p>
    <w:p>
      <w:pPr>
        <w:pStyle w:val="89"/>
        <w:ind w:firstLine="420"/>
        <w:rPr>
          <w:rFonts w:ascii="Times New Roman" w:hAnsi="Times New Roman" w:eastAsia="黑体"/>
          <w:color w:val="000000" w:themeColor="text1"/>
          <w:szCs w:val="32"/>
          <w:highlight w:val="none"/>
          <w14:textFill>
            <w14:solidFill>
              <w14:schemeClr w14:val="tx1"/>
            </w14:solidFill>
          </w14:textFill>
        </w:rPr>
      </w:pPr>
      <w:bookmarkStart w:id="628" w:name="_Toc44492569"/>
      <w:r>
        <w:rPr>
          <w:rFonts w:hint="eastAsia" w:ascii="Times New Roman" w:hAnsi="Times New Roman" w:eastAsia="黑体"/>
          <w:color w:val="000000" w:themeColor="text1"/>
          <w:szCs w:val="32"/>
          <w:highlight w:val="none"/>
          <w14:textFill>
            <w14:solidFill>
              <w14:schemeClr w14:val="tx1"/>
            </w14:solidFill>
          </w14:textFill>
        </w:rPr>
        <w:t>4.7.6 对</w:t>
      </w:r>
      <w:r>
        <w:rPr>
          <w:rFonts w:ascii="Times New Roman" w:hAnsi="Times New Roman" w:eastAsia="黑体"/>
          <w:color w:val="000000" w:themeColor="text1"/>
          <w:szCs w:val="32"/>
          <w:highlight w:val="none"/>
          <w14:textFill>
            <w14:solidFill>
              <w14:schemeClr w14:val="tx1"/>
            </w14:solidFill>
          </w14:textFill>
        </w:rPr>
        <w:t>工人工资的约定</w:t>
      </w:r>
      <w:bookmarkEnd w:id="628"/>
    </w:p>
    <w:p>
      <w:pPr>
        <w:pStyle w:val="52"/>
        <w:ind w:firstLine="420"/>
        <w:rPr>
          <w:color w:val="000000" w:themeColor="text1"/>
          <w:highlight w:val="none"/>
          <w14:textFill>
            <w14:solidFill>
              <w14:schemeClr w14:val="tx1"/>
            </w14:solidFill>
          </w14:textFill>
        </w:rPr>
      </w:pPr>
      <w:bookmarkStart w:id="629" w:name="_Toc33616278"/>
      <w:r>
        <w:rPr>
          <w:rFonts w:hint="eastAsia"/>
          <w:color w:val="000000" w:themeColor="text1"/>
          <w:highlight w:val="none"/>
          <w14:textFill>
            <w14:solidFill>
              <w14:schemeClr w14:val="tx1"/>
            </w14:solidFill>
          </w14:textFill>
        </w:rPr>
        <w:t>4.</w:t>
      </w:r>
      <w:r>
        <w:rPr>
          <w:b/>
          <w:bCs/>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.6.1</w:t>
      </w:r>
      <w:r>
        <w:rPr>
          <w:rFonts w:hint="eastAsia"/>
          <w:color w:val="000000" w:themeColor="text1"/>
          <w:highlight w:val="none"/>
          <w14:textFill>
            <w14:solidFill>
              <w14:schemeClr w14:val="tx1"/>
            </w14:solidFill>
          </w14:textFill>
        </w:rPr>
        <w:t>承</w:t>
      </w:r>
      <w:r>
        <w:rPr>
          <w:color w:val="000000" w:themeColor="text1"/>
          <w:highlight w:val="none"/>
          <w14:textFill>
            <w14:solidFill>
              <w14:schemeClr w14:val="tx1"/>
            </w14:solidFill>
          </w14:textFill>
        </w:rPr>
        <w:t>包人设立工人工资支付专用账户，该账户与其他款项实行分开银行账户管理。工人工资支付专用账户内的资金除发放工人工资外，不得用于其他用途，不得开通网上银行等电子支付渠道，不得提取现金。</w:t>
      </w:r>
      <w:r>
        <w:rPr>
          <w:rFonts w:hint="eastAsia"/>
          <w:color w:val="000000" w:themeColor="text1"/>
          <w:highlight w:val="none"/>
          <w14:textFill>
            <w14:solidFill>
              <w14:schemeClr w14:val="tx1"/>
            </w14:solidFill>
          </w14:textFill>
        </w:rPr>
        <w:t>承</w:t>
      </w:r>
      <w:r>
        <w:rPr>
          <w:color w:val="000000" w:themeColor="text1"/>
          <w:highlight w:val="none"/>
          <w14:textFill>
            <w14:solidFill>
              <w14:schemeClr w14:val="tx1"/>
            </w14:solidFill>
          </w14:textFill>
        </w:rPr>
        <w:t>包人设立的工人工资支付专用账户信息（开户银行名称及</w:t>
      </w:r>
      <w:r>
        <w:rPr>
          <w:rFonts w:hint="eastAsia"/>
          <w:color w:val="000000" w:themeColor="text1"/>
          <w:highlight w:val="none"/>
          <w14:textFill>
            <w14:solidFill>
              <w14:schemeClr w14:val="tx1"/>
            </w14:solidFill>
          </w14:textFill>
        </w:rPr>
        <w:t>账号</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承</w:t>
      </w:r>
      <w:r>
        <w:rPr>
          <w:color w:val="000000" w:themeColor="text1"/>
          <w:highlight w:val="none"/>
          <w14:textFill>
            <w14:solidFill>
              <w14:schemeClr w14:val="tx1"/>
            </w14:solidFill>
          </w14:textFill>
        </w:rPr>
        <w:t>包人必须在</w:t>
      </w:r>
      <w:r>
        <w:rPr>
          <w:rFonts w:hint="eastAsia"/>
          <w:color w:val="000000" w:themeColor="text1"/>
          <w:highlight w:val="none"/>
          <w14:textFill>
            <w14:solidFill>
              <w14:schemeClr w14:val="tx1"/>
            </w14:solidFill>
          </w14:textFill>
        </w:rPr>
        <w:t>本</w:t>
      </w:r>
      <w:r>
        <w:rPr>
          <w:color w:val="000000" w:themeColor="text1"/>
          <w:highlight w:val="none"/>
          <w14:textFill>
            <w14:solidFill>
              <w14:schemeClr w14:val="tx1"/>
            </w14:solidFill>
          </w14:textFill>
        </w:rPr>
        <w:t>合同签订后、</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第一次支付款项前提供给</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w:t>
      </w:r>
      <w:bookmarkEnd w:id="629"/>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w:t>
      </w:r>
      <w:r>
        <w:rPr>
          <w:rFonts w:eastAsia="仿宋_GB2312"/>
          <w:color w:val="000000" w:themeColor="text1"/>
          <w:kern w:val="0"/>
          <w:szCs w:val="32"/>
          <w:highlight w:val="none"/>
          <w14:textFill>
            <w14:solidFill>
              <w14:schemeClr w14:val="tx1"/>
            </w14:solidFill>
          </w14:textFill>
        </w:rPr>
        <w:t>.7.6.2分包人</w:t>
      </w:r>
      <w:r>
        <w:rPr>
          <w:rFonts w:hint="eastAsia" w:eastAsia="仿宋_GB2312"/>
          <w:color w:val="000000" w:themeColor="text1"/>
          <w:kern w:val="0"/>
          <w:szCs w:val="32"/>
          <w:highlight w:val="none"/>
          <w14:textFill>
            <w14:solidFill>
              <w14:schemeClr w14:val="tx1"/>
            </w14:solidFill>
          </w14:textFill>
        </w:rPr>
        <w:t>应严格执行政府颁发的《建筑工人实名制管理办法》的相关要求，</w:t>
      </w:r>
      <w:r>
        <w:rPr>
          <w:rFonts w:eastAsia="仿宋_GB2312"/>
          <w:color w:val="000000" w:themeColor="text1"/>
          <w:kern w:val="0"/>
          <w:szCs w:val="32"/>
          <w:highlight w:val="none"/>
          <w14:textFill>
            <w14:solidFill>
              <w14:schemeClr w14:val="tx1"/>
            </w14:solidFill>
          </w14:textFill>
        </w:rPr>
        <w:t>必须对所有进场建筑工人进行实名制管理，</w:t>
      </w:r>
      <w:r>
        <w:rPr>
          <w:rFonts w:hint="eastAsia" w:eastAsia="仿宋_GB2312"/>
          <w:color w:val="000000" w:themeColor="text1"/>
          <w:kern w:val="0"/>
          <w:szCs w:val="32"/>
          <w:highlight w:val="none"/>
          <w14:textFill>
            <w14:solidFill>
              <w14:schemeClr w14:val="tx1"/>
            </w14:solidFill>
          </w14:textFill>
        </w:rPr>
        <w:t>将施工人员名单造册提交承包人监督，发生施工人员变动时必须及时提交变更后名单；因未提交施工人员名单或名单不准确的，在发生欠薪讨薪事件时，以承包人认定的施工人员范围为准；承包人应</w:t>
      </w:r>
      <w:r>
        <w:rPr>
          <w:rFonts w:eastAsia="仿宋_GB2312"/>
          <w:color w:val="000000" w:themeColor="text1"/>
          <w:kern w:val="0"/>
          <w:szCs w:val="32"/>
          <w:highlight w:val="none"/>
          <w14:textFill>
            <w14:solidFill>
              <w14:schemeClr w14:val="tx1"/>
            </w14:solidFill>
          </w14:textFill>
        </w:rPr>
        <w:t>为每一位工人办理工资个人账户，建立工人工资支付台账，每月定期将工资直接支付给工人本人。</w:t>
      </w:r>
      <w:r>
        <w:rPr>
          <w:rFonts w:hint="eastAsia" w:eastAsia="仿宋_GB2312"/>
          <w:color w:val="000000" w:themeColor="text1"/>
          <w:kern w:val="0"/>
          <w:szCs w:val="32"/>
          <w:highlight w:val="none"/>
          <w14:textFill>
            <w14:solidFill>
              <w14:schemeClr w14:val="tx1"/>
            </w14:solidFill>
          </w14:textFill>
        </w:rPr>
        <w:t>承包人</w:t>
      </w:r>
      <w:r>
        <w:rPr>
          <w:rFonts w:eastAsia="仿宋_GB2312"/>
          <w:color w:val="000000" w:themeColor="text1"/>
          <w:kern w:val="0"/>
          <w:szCs w:val="32"/>
          <w:highlight w:val="none"/>
          <w14:textFill>
            <w14:solidFill>
              <w14:schemeClr w14:val="tx1"/>
            </w14:solidFill>
          </w14:textFill>
        </w:rPr>
        <w:t>有权（但无义务）对建筑工人的个人银行账户的真实性和分包人的工资发放进行检查监督。</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w:t>
      </w:r>
      <w:r>
        <w:rPr>
          <w:rFonts w:eastAsia="仿宋_GB2312"/>
          <w:color w:val="000000" w:themeColor="text1"/>
          <w:kern w:val="0"/>
          <w:szCs w:val="32"/>
          <w:highlight w:val="none"/>
          <w14:textFill>
            <w14:solidFill>
              <w14:schemeClr w14:val="tx1"/>
            </w14:solidFill>
          </w14:textFill>
        </w:rPr>
        <w:t>7.6.3</w:t>
      </w:r>
      <w:r>
        <w:rPr>
          <w:rFonts w:hint="eastAsia" w:eastAsia="仿宋_GB2312"/>
          <w:color w:val="000000" w:themeColor="text1"/>
          <w:kern w:val="0"/>
          <w:szCs w:val="32"/>
          <w:highlight w:val="none"/>
          <w14:textFill>
            <w14:solidFill>
              <w14:schemeClr w14:val="tx1"/>
            </w14:solidFill>
          </w14:textFill>
        </w:rPr>
        <w:t>承</w:t>
      </w:r>
      <w:r>
        <w:rPr>
          <w:rFonts w:eastAsia="仿宋_GB2312"/>
          <w:color w:val="000000" w:themeColor="text1"/>
          <w:kern w:val="0"/>
          <w:szCs w:val="32"/>
          <w:highlight w:val="none"/>
          <w14:textFill>
            <w14:solidFill>
              <w14:schemeClr w14:val="tx1"/>
            </w14:solidFill>
          </w14:textFill>
        </w:rPr>
        <w:t>包人应当建立工人考勤、工资结算和支付等管理台账，存档备查，并将相关信息按月报送建设行业主管部门。工人考勤明细表应当在施工现场公示栏进行公示，公示期不少于5天，工人考勤和工资结算明细表须经工人签名确认。</w:t>
      </w:r>
    </w:p>
    <w:p>
      <w:pPr>
        <w:spacing w:before="31" w:after="31"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w:t>
      </w:r>
      <w:r>
        <w:rPr>
          <w:rFonts w:eastAsia="仿宋_GB2312"/>
          <w:color w:val="000000" w:themeColor="text1"/>
          <w:kern w:val="0"/>
          <w:szCs w:val="32"/>
          <w:highlight w:val="none"/>
          <w14:textFill>
            <w14:solidFill>
              <w14:schemeClr w14:val="tx1"/>
            </w14:solidFill>
          </w14:textFill>
        </w:rPr>
        <w:t>7.6.4分包人每期申请进度款时，</w:t>
      </w:r>
      <w:r>
        <w:rPr>
          <w:rFonts w:hint="eastAsia" w:eastAsia="仿宋_GB2312"/>
          <w:color w:val="000000" w:themeColor="text1"/>
          <w:kern w:val="0"/>
          <w:szCs w:val="32"/>
          <w:highlight w:val="none"/>
          <w14:textFill>
            <w14:solidFill>
              <w14:schemeClr w14:val="tx1"/>
            </w14:solidFill>
          </w14:textFill>
        </w:rPr>
        <w:t>承包人按照分包人提供并经承包人审批确认后的农民工工资费用数额，且在合同约定的付款条件满足后</w:t>
      </w:r>
      <w:r>
        <w:rPr>
          <w:rFonts w:eastAsia="仿宋_GB2312"/>
          <w:color w:val="000000" w:themeColor="text1"/>
          <w:kern w:val="0"/>
          <w:szCs w:val="32"/>
          <w:highlight w:val="none"/>
          <w14:textFill>
            <w14:solidFill>
              <w14:schemeClr w14:val="tx1"/>
            </w14:solidFill>
          </w14:textFill>
        </w:rPr>
        <w:t>向</w:t>
      </w:r>
      <w:r>
        <w:rPr>
          <w:rFonts w:hint="eastAsia" w:eastAsia="仿宋_GB2312"/>
          <w:color w:val="000000" w:themeColor="text1"/>
          <w:kern w:val="0"/>
          <w:szCs w:val="32"/>
          <w:highlight w:val="none"/>
          <w14:textFill>
            <w14:solidFill>
              <w14:schemeClr w14:val="tx1"/>
            </w14:solidFill>
          </w14:textFill>
        </w:rPr>
        <w:t>分包人</w:t>
      </w:r>
      <w:r>
        <w:rPr>
          <w:rFonts w:eastAsia="仿宋_GB2312"/>
          <w:color w:val="000000" w:themeColor="text1"/>
          <w:kern w:val="0"/>
          <w:szCs w:val="32"/>
          <w:highlight w:val="none"/>
          <w14:textFill>
            <w14:solidFill>
              <w14:schemeClr w14:val="tx1"/>
            </w14:solidFill>
          </w14:textFill>
        </w:rPr>
        <w:t>拨付工人工资款项。</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7.6.5</w:t>
      </w:r>
      <w:r>
        <w:rPr>
          <w:rFonts w:hint="eastAsia"/>
          <w:color w:val="000000" w:themeColor="text1"/>
          <w:highlight w:val="none"/>
          <w14:textFill>
            <w14:solidFill>
              <w14:schemeClr w14:val="tx1"/>
            </w14:solidFill>
          </w14:textFill>
        </w:rPr>
        <w:t>分</w:t>
      </w:r>
      <w:r>
        <w:rPr>
          <w:color w:val="000000" w:themeColor="text1"/>
          <w:highlight w:val="none"/>
          <w14:textFill>
            <w14:solidFill>
              <w14:schemeClr w14:val="tx1"/>
            </w14:solidFill>
          </w14:textFill>
        </w:rPr>
        <w:t>包人设立工人工资支付专用账户、按时足额支付工人工资，不得拖欠工人工资或影响发包人施工许可证办理及施工进度等。否则，</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有权从应付分包人的工程款中直接向工人支付工资，可以按照工人的主张和工人提供的</w:t>
      </w:r>
      <w:r>
        <w:rPr>
          <w:rFonts w:hint="eastAsia"/>
          <w:color w:val="000000" w:themeColor="text1"/>
          <w:highlight w:val="none"/>
          <w14:textFill>
            <w14:solidFill>
              <w14:schemeClr w14:val="tx1"/>
            </w14:solidFill>
          </w14:textFill>
        </w:rPr>
        <w:t>初步</w:t>
      </w:r>
      <w:r>
        <w:rPr>
          <w:color w:val="000000" w:themeColor="text1"/>
          <w:highlight w:val="none"/>
          <w14:textFill>
            <w14:solidFill>
              <w14:schemeClr w14:val="tx1"/>
            </w14:solidFill>
          </w14:textFill>
        </w:rPr>
        <w:t>证明资料（如银行流水）确定发放金额，但</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不对金额的正确性负责，</w:t>
      </w:r>
      <w:r>
        <w:rPr>
          <w:rFonts w:hint="eastAsia"/>
          <w:color w:val="000000" w:themeColor="text1"/>
          <w:highlight w:val="none"/>
          <w14:textFill>
            <w14:solidFill>
              <w14:schemeClr w14:val="tx1"/>
            </w14:solidFill>
          </w14:textFill>
        </w:rPr>
        <w:t>分</w:t>
      </w:r>
      <w:r>
        <w:rPr>
          <w:color w:val="000000" w:themeColor="text1"/>
          <w:highlight w:val="none"/>
          <w14:textFill>
            <w14:solidFill>
              <w14:schemeClr w14:val="tx1"/>
            </w14:solidFill>
          </w14:textFill>
        </w:rPr>
        <w:t>包人有异议的，应自行与工人协商解决，</w:t>
      </w:r>
      <w:r>
        <w:rPr>
          <w:rFonts w:hint="eastAsia"/>
          <w:color w:val="000000" w:themeColor="text1"/>
          <w:highlight w:val="none"/>
          <w14:textFill>
            <w14:solidFill>
              <w14:schemeClr w14:val="tx1"/>
            </w14:solidFill>
          </w14:textFill>
        </w:rPr>
        <w:t>分包人按专用条款第22.1.9.9目承担相关违约责任</w:t>
      </w:r>
      <w:r>
        <w:rPr>
          <w:color w:val="000000" w:themeColor="text1"/>
          <w:highlight w:val="none"/>
          <w14:textFill>
            <w14:solidFill>
              <w14:schemeClr w14:val="tx1"/>
            </w14:solidFill>
          </w14:textFill>
        </w:rPr>
        <w:t>。</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.6 承包人应当按照有关规定存储工资保证金，专项用于支付为所承包工程提供劳动的农民工被拖欠的工资。</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7 分包人与承包人或者分包人因工程数量、质量、造价等产生争议的，分包人也不得因争议不按照合同约定发放工资。</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8凡是分包人不按合同及有关规定按时足额支付相关款项（包括但不限于施工人员工资、设备材料采购货款等）而出现纠纷影响到承包人或发包人或政府有关部门的，分包人除应遵守本合同其它条款的约定外，还必须优先服从发包人的以下措施和指令：</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①分包人须在接到承包人通知后1小时内将工人领回；</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②承包人有权要求分包人携带现金前往承包人或发包人处或政府有关部门，现场支付所拖欠的工人工资合同价款；</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③承包人有权立即采取提取履约保函、扣除履约保证金、扣除工程进度款等方式，向施工人员或设备材料供应商支付其所拖欠的款项；</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④分包人法定代表人或项目负责人须在接到承包人通知后1小时内前往承包人或发包人处当面汇报对工人投诉或集体上访事件的处理方案；</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⑤分包人须在发生投诉或集体上访事件后3日内向承包人及发包人出具对事件的书面检查报告；</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⑥承包人有权上报省、市、区主管部门；</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⑦分包人在承包人要求的时间内不予处理的，承包人有权垫付有关费用并暂停支付工程进度款。</w:t>
      </w:r>
      <w:r>
        <w:rPr>
          <w:rFonts w:hint="eastAsia"/>
          <w:color w:val="000000" w:themeColor="text1"/>
          <w:highlight w:val="none"/>
          <w:lang w:bidi="ar"/>
          <w14:textFill>
            <w14:solidFill>
              <w14:schemeClr w14:val="tx1"/>
            </w14:solidFill>
          </w14:textFill>
        </w:rPr>
        <w:t>如分包人的款项不足以支付承包人所垫付的工资和相应的违约金与利息或损失的，应以分包人财产承担，承包人可按照农民工签字确认的拖欠工资总额，直接向法院申请对分包人的财产包括房产、汽车、现金、银行账户及其他资产等采取冻结、扣押、强制划拨、先予执行、先行给付等法律手段予以抵偿</w:t>
      </w:r>
      <w:r>
        <w:rPr>
          <w:rFonts w:hint="eastAsia"/>
          <w:color w:val="000000" w:themeColor="text1"/>
          <w:highlight w:val="none"/>
          <w14:textFill>
            <w14:solidFill>
              <w14:schemeClr w14:val="tx1"/>
            </w14:solidFill>
          </w14:textFill>
        </w:rPr>
        <w:t>。</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9 分包人应在施工现场醒目位置设立维权信息告示牌，明确标示建设单位、施工总承包企业及所在项目部、分包企业、行业监管部门等基本信息；明确标示劳动用工相关法律法规、当地最低工资标准、工资支付日期等信息；明确标示属地行业监管部门投诉举报电话和劳动争议调解仲裁、劳动保障监察投诉举报电话等信息，实现所有施工场地全覆盖。</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10承包人应无条件遵守《保障农民工工资支付条例》及当地关于农民工工资支付的要求，配合发包人办理相关事宜，包括设立工资保证金、设立农民工工资专用账户、按时足额支付工人工资、不得影响发包人施工许可证办理及施工进度等。因承包人未执行国家、地方相关保障农民工工资支付的规定（包括但不限于拒不通过农民工工资专用账户支付农民工工资），给发包人或承包人造成的一切经济损失与法律后果（包括但不限于行政部门对发包人的罚款、行政部门要求项目停工产生的停工损失、行政部门要求发包人垫付劳动者报酬等），均由承包人承担，并按照本专用合同条款相关约定承担违约责任。</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11.</w:t>
      </w:r>
      <w:r>
        <w:rPr>
          <w:rFonts w:hint="eastAsia"/>
          <w:color w:val="000000" w:themeColor="text1"/>
          <w:highlight w:val="none"/>
          <w14:textFill>
            <w14:solidFill>
              <w14:schemeClr w14:val="tx1"/>
            </w14:solidFill>
          </w14:textFill>
        </w:rPr>
        <w:t xml:space="preserve"> 特别强调：任何情况下，分包人不得因延迟或推迟支付工人的工资而引发社会矛盾，从而影响承包人工程总进展及发包人的经营。如果因分包人延迟或推迟支付工人工资导致本工程发生下列事件：</w:t>
      </w:r>
    </w:p>
    <w:p>
      <w:pPr>
        <w:pStyle w:val="52"/>
        <w:ind w:firstLine="424" w:firstLineChars="202"/>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 分包人的工人直接向承包人或发包人要求支付工人工资的；</w:t>
      </w:r>
    </w:p>
    <w:p>
      <w:pPr>
        <w:pStyle w:val="52"/>
        <w:ind w:firstLine="424" w:firstLineChars="202"/>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）分包人在本工程被媒体披露欠薪的情况；</w:t>
      </w:r>
    </w:p>
    <w:p>
      <w:pPr>
        <w:pStyle w:val="52"/>
        <w:ind w:firstLine="424" w:firstLineChars="202"/>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 发生分包人工人因欠薪而有组织的上访；</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 工人因欠薪而引起的有组织的集会以及其他事件，尤其是对发包人的经营、工程进展产生影响的事件。</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以上事件每发生一次分包人不仅须限期支付处理该事件的费用，还应按如下约定向承包人承担违约责任</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1）应向承包人支付违约金额20万人民币；</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2）赔偿承包人因此产生的所有损失（如因此导致发包人产生损失的，由承包人赔偿发包人相应损失），包括第三方向承包人的索赔；</w:t>
      </w:r>
      <w:r>
        <w:rPr>
          <w:color w:val="000000" w:themeColor="text1"/>
          <w:highlight w:val="none"/>
          <w14:textFill>
            <w14:solidFill>
              <w14:schemeClr w14:val="tx1"/>
            </w14:solidFill>
          </w14:textFill>
        </w:rPr>
        <w:t xml:space="preserve"> </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3）经发包人书面同意，承包人有权解除合同；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4）作为供应商评价考核评审依据限制分包人参与发包人及其集团公司系统内的工程投标或承接工程的活动。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4.7.6.12承包人须按照《广州市建设领域工人工资支付分账管理实施细则》（穗建规字[2020]37号文）、关于印发《广州市建设领域施工企业工人工资支付保证金管理办法》的通知（穗人社规字[2019]7号文）等政府有关部门的文件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4.7.6.13 承包人根据分包人提供的劳务人员工资表所列当期应付劳务工资总额，将等额的工程款支付到劳务人员工资发放专用账户，承包人对劳务人员工资专款专用，承包人应在财务账目中单独列项备查，不得挪作他用。</w:t>
      </w:r>
    </w:p>
    <w:p>
      <w:pPr>
        <w:pStyle w:val="52"/>
        <w:ind w:firstLine="424" w:firstLineChars="202"/>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4.9 分包人</w:t>
      </w:r>
      <w:r>
        <w:rPr>
          <w:color w:val="000000" w:themeColor="text1"/>
          <w:highlight w:val="none"/>
          <w14:textFill>
            <w14:solidFill>
              <w14:schemeClr w14:val="tx1"/>
            </w14:solidFill>
          </w14:textFill>
        </w:rPr>
        <w:t>现场查勘：</w:t>
      </w:r>
    </w:p>
    <w:p>
      <w:pPr>
        <w:pStyle w:val="52"/>
        <w:ind w:firstLine="424" w:firstLineChars="202"/>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4.9.2. 承包人</w:t>
      </w:r>
      <w:r>
        <w:rPr>
          <w:color w:val="000000" w:themeColor="text1"/>
          <w:highlight w:val="none"/>
          <w14:textFill>
            <w14:solidFill>
              <w14:schemeClr w14:val="tx1"/>
            </w14:solidFill>
          </w14:textFill>
        </w:rPr>
        <w:t>向分包人提供的其他资料：</w:t>
      </w:r>
      <w:r>
        <w:rPr>
          <w:rFonts w:hint="eastAsia"/>
          <w:color w:val="000000" w:themeColor="text1"/>
          <w:highlight w:val="none"/>
          <w:u w:val="single"/>
          <w14:textFill>
            <w14:solidFill>
              <w14:schemeClr w14:val="tx1"/>
            </w14:solidFill>
          </w14:textFill>
        </w:rPr>
        <w:t>1、施工场地的地质勘探资料、地下管网线路、地下构筑物资料、现场水文气象资料。分包人应对其阅读上述有关资料后所作出的解释和推断负责。如因分包人原因造成损坏，由分包人负责维修并承担费用。2、承包人将水平控制点提供给分包人，并于现场交验。水平控制点交验完毕，即由分包人自费负责保护，此后由于破坏或失准带来的重新测量、放点费用及由此造成的其他损失均由分包人负担。</w:t>
      </w:r>
    </w:p>
    <w:p>
      <w:pPr>
        <w:pStyle w:val="52"/>
        <w:ind w:firstLine="487" w:firstLineChars="202"/>
        <w:rPr>
          <w:rFonts w:eastAsia="黑体"/>
          <w:b/>
          <w:bCs/>
          <w:color w:val="000000" w:themeColor="text1"/>
          <w:kern w:val="2"/>
          <w:sz w:val="24"/>
          <w:highlight w:val="none"/>
          <w14:textFill>
            <w14:solidFill>
              <w14:schemeClr w14:val="tx1"/>
            </w14:solidFill>
          </w14:textFill>
        </w:rPr>
      </w:pPr>
      <w:r>
        <w:rPr>
          <w:rFonts w:hint="eastAsia" w:eastAsia="黑体"/>
          <w:b/>
          <w:bCs/>
          <w:color w:val="000000" w:themeColor="text1"/>
          <w:kern w:val="2"/>
          <w:sz w:val="24"/>
          <w:highlight w:val="none"/>
          <w14:textFill>
            <w14:solidFill>
              <w14:schemeClr w14:val="tx1"/>
            </w14:solidFill>
          </w14:textFill>
        </w:rPr>
        <w:t>4.11.转包</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建设工程项目禁止转包或肢解后以分包名义进行转包。分包人存在下列情形之一的应认定为转包：</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①分包人将其承包的全部工程转给其他单位或个人施工的；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②分包人将其承包的全部工程肢解以后，以分包的名义分别转给其他单位或个人施工的；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③分包人通过采取合作、联营、个人承包等形式或名义，直接或变相将其他承包的全部工程转给其他单位或个人施工的。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④其他属于《建筑工程施工转包违法分包等违法行为认定查处管理办法（试行）》认定的转包情形。</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分包人出现以上转包情形的，经发包人书面同意，承包人有权单方解除合同，由此造成承包人或发包人损失的，由分包人负责赔偿。</w:t>
      </w:r>
    </w:p>
    <w:p>
      <w:pPr>
        <w:widowControl/>
        <w:spacing w:line="360" w:lineRule="auto"/>
        <w:ind w:firstLine="482" w:firstLineChars="200"/>
        <w:jc w:val="left"/>
        <w:rPr>
          <w:rFonts w:eastAsia="黑体"/>
          <w:b/>
          <w:bCs/>
          <w:color w:val="000000" w:themeColor="text1"/>
          <w:sz w:val="24"/>
          <w:highlight w:val="none"/>
          <w14:textFill>
            <w14:solidFill>
              <w14:schemeClr w14:val="tx1"/>
            </w14:solidFill>
          </w14:textFill>
        </w:rPr>
      </w:pPr>
      <w:r>
        <w:rPr>
          <w:rFonts w:hint="eastAsia" w:eastAsia="黑体"/>
          <w:b/>
          <w:bCs/>
          <w:color w:val="000000" w:themeColor="text1"/>
          <w:sz w:val="24"/>
          <w:highlight w:val="none"/>
          <w14:textFill>
            <w14:solidFill>
              <w14:schemeClr w14:val="tx1"/>
            </w14:solidFill>
          </w14:textFill>
        </w:rPr>
        <w:t>4.12.挂靠</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分包人存在下列情形之一的，应认定为挂靠：</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① 分包人允许没有资质的单位或个人借用其资质承揽工程的；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② 分包人通过采取合作、联营、个人承包等形式或名义，直接或变相将其承包的全部工程转给其他单位或个人施工的；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③ 分包人收到工程款后又将款项转拨给其他单位和个人，又不能进行合理解释并提供材料证明的；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④其他属于《建筑工程施工转包违法分包等违法行为认定查处管理办法（试行）》认定的挂靠情形。</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分包人出现以上挂靠情形的，经发包人同意，承包人有权单方解除合同，由此造成承包人或发包人损失的，由分包人负责赔偿。</w:t>
      </w:r>
    </w:p>
    <w:p>
      <w:pPr>
        <w:widowControl/>
        <w:spacing w:line="360" w:lineRule="auto"/>
        <w:ind w:firstLine="482"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黑体"/>
          <w:b/>
          <w:bCs/>
          <w:color w:val="000000" w:themeColor="text1"/>
          <w:sz w:val="24"/>
          <w:szCs w:val="32"/>
          <w:highlight w:val="none"/>
          <w14:textFill>
            <w14:solidFill>
              <w14:schemeClr w14:val="tx1"/>
            </w14:solidFill>
          </w14:textFill>
        </w:rPr>
        <w:t>4.13.遵守法律</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分包人在履行合同期间应遵守法律，并保证承包人免于承担因分包人违反法律而引起的任何责任。遵守国家、省、市有关社会信用体系建设工作的法律法规和部门规章，严格执行信用承诺制度，违背信用承诺约定时，承担违约责任，并依法承担相应法律责任。分包人在本工程项目中存在下列行为的，将被拒绝参与发包人及其集团系内后续工程项目的投标，拒绝投标时限由发包人视分包人违法、违规严重程度确定：</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①将中标工程转包或者违法再分包的；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②在中标工程中不执行质量、安全生产相关规定，造成严重质量或安全事故的；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③存在围标或串标情形的；</w:t>
      </w:r>
    </w:p>
    <w:p>
      <w:pPr>
        <w:widowControl/>
        <w:spacing w:line="360" w:lineRule="auto"/>
        <w:ind w:firstLine="420" w:firstLineChars="200"/>
        <w:jc w:val="left"/>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④存在弄虚作假骗取中标情形的；</w:t>
      </w:r>
    </w:p>
    <w:p>
      <w:pPr>
        <w:widowControl/>
        <w:spacing w:line="360" w:lineRule="auto"/>
        <w:ind w:firstLine="420" w:firstLineChars="200"/>
        <w:jc w:val="left"/>
        <w:rPr>
          <w:rFonts w:eastAsia="仿宋_GB2312"/>
          <w:color w:val="000000" w:themeColor="text1"/>
          <w:kern w:val="0"/>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⑤存在因过错行为被生效法律文书认定承担违约或侵权责任的；</w:t>
      </w:r>
    </w:p>
    <w:p>
      <w:pPr>
        <w:pStyle w:val="52"/>
        <w:ind w:firstLine="424" w:firstLineChars="202"/>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⑥分包人的不良行为导致发包人对其信用评价得分在60分以下或不及格的。</w:t>
      </w:r>
    </w:p>
    <w:p>
      <w:pPr>
        <w:pStyle w:val="73"/>
        <w:rPr>
          <w:color w:val="000000" w:themeColor="text1"/>
          <w:highlight w:val="none"/>
          <w14:textFill>
            <w14:solidFill>
              <w14:schemeClr w14:val="tx1"/>
            </w14:solidFill>
          </w14:textFill>
        </w:rPr>
      </w:pPr>
      <w:bookmarkStart w:id="630" w:name="_Toc44492570"/>
      <w:bookmarkStart w:id="631" w:name="_Toc91082438"/>
      <w:bookmarkStart w:id="632" w:name="_Toc44228157"/>
      <w:bookmarkStart w:id="633" w:name="_Toc38987274"/>
      <w:bookmarkStart w:id="634" w:name="_Toc6484"/>
      <w:bookmarkStart w:id="635" w:name="_Toc19925"/>
      <w:bookmarkStart w:id="636" w:name="_Toc18650"/>
      <w:r>
        <w:rPr>
          <w:rFonts w:hint="eastAsia"/>
          <w:color w:val="000000" w:themeColor="text1"/>
          <w:highlight w:val="none"/>
          <w14:textFill>
            <w14:solidFill>
              <w14:schemeClr w14:val="tx1"/>
            </w14:solidFill>
          </w14:textFill>
        </w:rPr>
        <w:t>5.材料和工程设备</w:t>
      </w:r>
      <w:bookmarkEnd w:id="630"/>
      <w:bookmarkEnd w:id="631"/>
      <w:bookmarkEnd w:id="632"/>
      <w:bookmarkEnd w:id="633"/>
      <w:bookmarkEnd w:id="634"/>
      <w:bookmarkEnd w:id="635"/>
      <w:bookmarkEnd w:id="636"/>
    </w:p>
    <w:p>
      <w:pPr>
        <w:pStyle w:val="77"/>
        <w:ind w:firstLine="480"/>
        <w:rPr>
          <w:color w:val="000000" w:themeColor="text1"/>
          <w:highlight w:val="none"/>
          <w14:textFill>
            <w14:solidFill>
              <w14:schemeClr w14:val="tx1"/>
            </w14:solidFill>
          </w14:textFill>
        </w:rPr>
      </w:pPr>
      <w:bookmarkStart w:id="637" w:name="_Toc10882"/>
      <w:bookmarkStart w:id="638" w:name="_Toc27607"/>
      <w:bookmarkStart w:id="639" w:name="_Toc44492571"/>
      <w:r>
        <w:rPr>
          <w:rFonts w:hint="eastAsia"/>
          <w:color w:val="000000" w:themeColor="text1"/>
          <w:highlight w:val="none"/>
          <w14:textFill>
            <w14:solidFill>
              <w14:schemeClr w14:val="tx1"/>
            </w14:solidFill>
          </w14:textFill>
        </w:rPr>
        <w:t>5.1. 分包人提供的材料和工程设备</w:t>
      </w:r>
      <w:bookmarkEnd w:id="637"/>
      <w:bookmarkEnd w:id="638"/>
      <w:bookmarkEnd w:id="639"/>
    </w:p>
    <w:p>
      <w:pPr>
        <w:pStyle w:val="52"/>
        <w:ind w:firstLine="420"/>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5.1.1.甲控乙供的材料和工程设备详见合同附件4。分包人进场后7天内须完成材料设备品牌、系列型号的报审工作，包括：清单内的所有主材、设备、合同附件4约定的材料设备，有技术文件约定参数的材料设备，其他需要报审的材料设备。品牌报审同时完成以下计划申报工作：《材料设备进场计划》、《材料设备排产计划》。分包人原则上必须选用合同材料设备品牌推荐表（详合同附件4） 中明确的材料设备品牌，并通过承包人报发包人审批同意后方可用于本合同工程。如分包人使用“或相当于的品牌”，则通过承包人报发包人最终书面确认后方可使用，如发包人认为该品牌不属于“或相当于的品牌”的，发包人有权通过承包人要求分包人按合同材料设各品牌推荐表确定最终选用品牌，且相关费用将不再增加。</w:t>
      </w:r>
    </w:p>
    <w:p>
      <w:pPr>
        <w:pStyle w:val="52"/>
        <w:ind w:firstLine="420"/>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5.1.2.发包人、承包人对分包人提供材料和工程设备的另行约定为：对于投标书中已承诺并经发包人确认的材料（设备），经总监理工程师和发包人、承包人核实，在施工当时已停产或施工当时有生产但市场上的数量不能满足施工需要的，若招标时发包人已提供参考品牌的，由发包人在推荐品牌中选择与投标书中已承诺材料同一档次或高一档次的品牌材料，主材或设备价格按原投标材料（设备）单价；若招标时发包人未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5.1.4. 分包人自行采购的材料设备，订货前至少3天（属监造设备的订货前至少/天），通过承包人审核后，由承包人向监理人及发包人提供相关的材料、设备文件（包括但不限于品牌、产地、规格、等级、技术性能指标检测检验报告等证明材料、设备满足图纸及技术文件要求，且与发包人推荐品牌相当档次的文件、资料），经承包人及发包人审批同意后方可采购；并对需要封样的产品进行三方封样, 作为进场验收和施工复核的依据。分包人所购材料设备必须是原厂、正品、全新的产品。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材料、设备所配套申报的生产及加工厂家、代理商需要满足招标文件中相关要求，并配合发包人进行相关考察，考察结果不能满足项目需求的，承包人或发包人有权拒绝使用该项产品。材料、设备进场前7天，需要向承包人和发包人提供分包人或其经发包人审批的相关厂家、授权代理商签订的供货合同、出厂合格证、各种产品质量认证证书、出厂试验报告、型式试验报告、第三方检测报告、相关保证函、厂家联系方式、验证方式、厂家确认的出货单等相关正规渠道出货证明，进口材料设备还需要提供报关单、原产地证明、商检证明文件，甲供材料还需签署：《材料设备收货单》、《材料设备领料单》。授权代理商须提供项目授权或年度授权证明。材料、设备、辅材的采购不得由劳务分包代购。材料、设备未附相关采购合同的，进度款中承包人不予支付相关材料、设备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分包人需要根据承包人及发包人要求制定材料设备的进场计划并与厂家制定材料设备排产计划和监造大纲。按监造大纲组织到厂监造。需监造的材料设备：</w:t>
      </w:r>
      <w:r>
        <w:rPr>
          <w:color w:val="000000" w:themeColor="text1"/>
          <w:highlight w:val="none"/>
          <w:u w:val="single"/>
          <w14:textFill>
            <w14:solidFill>
              <w14:schemeClr w14:val="tx1"/>
            </w14:solidFill>
          </w14:textFill>
        </w:rPr>
        <w:t xml:space="preserve"> / </w:t>
      </w:r>
      <w:r>
        <w:rPr>
          <w:rFonts w:hint="eastAsia"/>
          <w:color w:val="000000" w:themeColor="text1"/>
          <w:highlight w:val="none"/>
          <w14:textFill>
            <w14:solidFill>
              <w14:schemeClr w14:val="tx1"/>
            </w14:solidFill>
          </w14:textFill>
        </w:rPr>
        <w:t>。监造材料设备的相关费用根据各付各费原则各自承担。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自行采购的材料、设备（或元件）未按合同约定报承包人及发包人审批同意的，分包人应按该批材料、设备（或元件）的“数量×分项清单价”20％（且不少于1000元）支付违约金。承包人有权要求分包人拆除、退场或重新采购，并承担由此发生的费用，工期不予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原则上必须选用工程材料设备品牌推荐表中明确的材料设备品牌，并经承包人及发包人审批同意后方可用于本合同工程。对于分包人上报的品牌，经承包人核实后，报总监理工程师和发包人核实，在施工当时已停产或施工当时有生产但市场上的数量不能满足施工需要的，由发包人在推荐品牌中选定其他品牌材料（设备），主材或设备价格按原投标材料（设备）单价；若分包人使用材料设备品牌推荐表以外的同档次或更优产品的，主材或设备价格按原投标材料（设备）单价下浮30%计价；若招标时发包人未明确参考品牌的，分包人须采购发包人认可的与其投标书承诺品牌同一档次的材料（设备），价格按原投标单价；若招标时发包人未明确参考品牌的，且分包人在其投标书中亦未对相关材料（设备）品牌进行承诺的，须采购满足相关技术要求且发包人认可的材料（设备），价格按原投标单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发包人有权对原《甲控乙供材料设备一览表》的部分品牌进行更换或取消，对新增的材料设备品牌价格由双方协商确定。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对于垄断性（消防、电力、防雷、市政给水、排污、环保、燃气、网络通讯等）部门要求验收的材料，分包人必须使用在工程所在地有相关工程业绩的材料并提交相关工程业绩的证明。</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5.1.8.检测费用承担方式：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本合同工程相关的第三方检测由发包人另行委托，不在本合同范围内，发包人只承担相应的检测费，其他一切相关费用及工作均由分包人承担且已经包含在本合同价款内（包括但不限于：需提供检测所需的材料并承担材料及材料损耗及检测配合的相关费用）。除根据政策要求的第三方检测和监理相关检测外，根据工程实际情况，发包人对有疑问、高价值、对效果有重大影响、易产生不合格品的材料设备有权实施抽检，且分包人不得以该抽检工作为由提出工期索赔。检验的结果证明该项材料、设备不符合合同要求的，因此增加的费用由分包人承担；检验结果证明该项材料、设备符合合同要求的，由发包人承担因此增加的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各项检查中已经出现不合格品的材料、设备整改后需要加倍抽检或全检，分包人承担全额费用，工期不予顺延。不论是否通过发包人、监理人的抽查、验收，监理人及发包人对材料、设备的检验、抽查意见均不免除分包人提供的材料设备不符合合同约定的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5.1.9. 分包人采购和（或）使用不符合设计和合同要求的材料、设备（或元件）时，应按该批材料、设备（或元件）的“数量×分项清单价”20％（且不少于1000元）支付违约金。发包人或承包人有权要求分包人拆除、退场或重新采购，并承担由此发生的费用，工期不予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若分包人将假冒伪劣材料设备用于本工程，</w:t>
      </w:r>
      <w:r>
        <w:rPr>
          <w:rFonts w:hint="eastAsia"/>
          <w:color w:val="000000" w:themeColor="text1"/>
          <w:highlight w:val="none"/>
          <w:u w:val="single"/>
          <w14:textFill>
            <w14:solidFill>
              <w14:schemeClr w14:val="tx1"/>
            </w14:solidFill>
          </w14:textFill>
        </w:rPr>
        <w:t>则每发生一例，经发包人书面通知，承包人有权要求分包人承担相当于该批材料价款2倍的违约金，该款项直接从工程款中扣除，无需经分包人同意。</w:t>
      </w:r>
      <w:r>
        <w:rPr>
          <w:rFonts w:hint="eastAsia"/>
          <w:color w:val="000000" w:themeColor="text1"/>
          <w:highlight w:val="none"/>
          <w14:textFill>
            <w14:solidFill>
              <w14:schemeClr w14:val="tx1"/>
            </w14:solidFill>
          </w14:textFill>
        </w:rPr>
        <w:t xml:space="preserve"> 分包人并应无条件负责修复、拆除并将所购材料设备退场，并承担由此产生的一切费用及责任，由此延误的工期由分包人承担责任。 </w:t>
      </w:r>
    </w:p>
    <w:p>
      <w:pPr>
        <w:pStyle w:val="77"/>
        <w:ind w:firstLine="480"/>
        <w:rPr>
          <w:color w:val="000000" w:themeColor="text1"/>
          <w:highlight w:val="none"/>
          <w14:textFill>
            <w14:solidFill>
              <w14:schemeClr w14:val="tx1"/>
            </w14:solidFill>
          </w14:textFill>
        </w:rPr>
      </w:pPr>
      <w:bookmarkStart w:id="640" w:name="_Toc44492572"/>
      <w:bookmarkStart w:id="641" w:name="_Toc28464"/>
      <w:bookmarkStart w:id="642" w:name="_Toc9193"/>
      <w:r>
        <w:rPr>
          <w:rFonts w:hint="eastAsia"/>
          <w:color w:val="000000" w:themeColor="text1"/>
          <w:highlight w:val="none"/>
          <w14:textFill>
            <w14:solidFill>
              <w14:schemeClr w14:val="tx1"/>
            </w14:solidFill>
          </w14:textFill>
        </w:rPr>
        <w:t>5.2.   发包人提供的材料和工程设备</w:t>
      </w:r>
      <w:bookmarkEnd w:id="640"/>
      <w:bookmarkEnd w:id="641"/>
      <w:bookmarkEnd w:id="642"/>
    </w:p>
    <w:p>
      <w:pPr>
        <w:pStyle w:val="75"/>
        <w:ind w:firstLine="420"/>
        <w:rPr>
          <w:rFonts w:eastAsia="仿宋_GB2312"/>
          <w:b w:val="0"/>
          <w:color w:val="000000" w:themeColor="text1"/>
          <w:highlight w:val="none"/>
          <w14:textFill>
            <w14:solidFill>
              <w14:schemeClr w14:val="tx1"/>
            </w14:solidFill>
          </w14:textFill>
        </w:rPr>
      </w:pPr>
      <w:bookmarkStart w:id="643" w:name="_Toc10356"/>
      <w:r>
        <w:rPr>
          <w:rFonts w:hint="eastAsia" w:eastAsia="仿宋_GB2312"/>
          <w:b w:val="0"/>
          <w:color w:val="000000" w:themeColor="text1"/>
          <w:highlight w:val="none"/>
          <w14:textFill>
            <w14:solidFill>
              <w14:schemeClr w14:val="tx1"/>
            </w14:solidFill>
          </w14:textFill>
        </w:rPr>
        <w:t>5.2.1. 发包人提供的材料和工程设备清单：本合同无甲供材料及设备。</w:t>
      </w:r>
    </w:p>
    <w:bookmarkEnd w:id="643"/>
    <w:p>
      <w:pPr>
        <w:pStyle w:val="77"/>
        <w:ind w:firstLine="482"/>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5.4.</w:t>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禁止使用不合格的材料和工程设备</w:t>
      </w:r>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5.4.4.分包人使用了不合格材料或工程设备，工程质量达不到标准要求，又拒绝整改的，分包人应按合同专用条款第22.1.9.3条第9）款约定承担违约责任。</w:t>
      </w:r>
    </w:p>
    <w:p>
      <w:pPr>
        <w:pStyle w:val="73"/>
        <w:rPr>
          <w:color w:val="000000" w:themeColor="text1"/>
          <w:highlight w:val="none"/>
          <w14:textFill>
            <w14:solidFill>
              <w14:schemeClr w14:val="tx1"/>
            </w14:solidFill>
          </w14:textFill>
        </w:rPr>
      </w:pPr>
      <w:bookmarkStart w:id="644" w:name="_Toc44492573"/>
      <w:bookmarkStart w:id="645" w:name="_Toc31629"/>
      <w:bookmarkStart w:id="646" w:name="_Toc13460"/>
      <w:bookmarkStart w:id="647" w:name="_Toc20736"/>
      <w:bookmarkStart w:id="648" w:name="_Toc44228158"/>
      <w:bookmarkStart w:id="649" w:name="_Toc38987275"/>
      <w:bookmarkStart w:id="650" w:name="_Toc91082439"/>
      <w:r>
        <w:rPr>
          <w:rFonts w:hint="eastAsia"/>
          <w:color w:val="000000" w:themeColor="text1"/>
          <w:highlight w:val="none"/>
          <w14:textFill>
            <w14:solidFill>
              <w14:schemeClr w14:val="tx1"/>
            </w14:solidFill>
          </w14:textFill>
        </w:rPr>
        <w:t>6.施工设备和临时设施</w:t>
      </w:r>
      <w:bookmarkEnd w:id="644"/>
      <w:bookmarkEnd w:id="645"/>
      <w:bookmarkEnd w:id="646"/>
      <w:bookmarkEnd w:id="647"/>
      <w:bookmarkEnd w:id="648"/>
      <w:bookmarkEnd w:id="649"/>
      <w:bookmarkEnd w:id="650"/>
    </w:p>
    <w:p>
      <w:pPr>
        <w:pStyle w:val="77"/>
        <w:ind w:firstLine="482"/>
        <w:rPr>
          <w:b/>
          <w:color w:val="000000" w:themeColor="text1"/>
          <w:highlight w:val="none"/>
          <w14:textFill>
            <w14:solidFill>
              <w14:schemeClr w14:val="tx1"/>
            </w14:solidFill>
          </w14:textFill>
        </w:rPr>
      </w:pPr>
      <w:bookmarkStart w:id="651" w:name="_Toc2314"/>
      <w:bookmarkStart w:id="652" w:name="_Toc25127"/>
      <w:bookmarkStart w:id="653" w:name="_Toc44492574"/>
      <w:r>
        <w:rPr>
          <w:rFonts w:hint="eastAsia"/>
          <w:b/>
          <w:color w:val="000000" w:themeColor="text1"/>
          <w:highlight w:val="none"/>
          <w14:textFill>
            <w14:solidFill>
              <w14:schemeClr w14:val="tx1"/>
            </w14:solidFill>
          </w14:textFill>
        </w:rPr>
        <w:t>6.1. 分包人提供的施工设备和临时设施</w:t>
      </w:r>
      <w:bookmarkEnd w:id="651"/>
      <w:bookmarkEnd w:id="652"/>
      <w:bookmarkEnd w:id="65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6.1.2. 分包人提供的施工设备或临时设施：</w:t>
      </w:r>
      <w:r>
        <w:rPr>
          <w:rFonts w:hint="eastAsia"/>
          <w:color w:val="000000" w:themeColor="text1"/>
          <w:highlight w:val="none"/>
          <w:u w:val="single"/>
          <w14:textFill>
            <w14:solidFill>
              <w14:schemeClr w14:val="tx1"/>
            </w14:solidFill>
          </w14:textFill>
        </w:rPr>
        <w:t xml:space="preserve"> </w:t>
      </w:r>
      <w:r>
        <w:rPr>
          <w:rFonts w:hint="eastAsia" w:hAnsi="宋体"/>
          <w:color w:val="000000" w:themeColor="text1"/>
          <w:highlight w:val="none"/>
          <w:u w:val="single"/>
          <w14:textFill>
            <w14:solidFill>
              <w14:schemeClr w14:val="tx1"/>
            </w14:solidFill>
          </w14:textFill>
        </w:rPr>
        <w:t>分包人提供的施工设备或临时设施不得低于分包人投标文件中明确的数量、规格及投入时间等承诺标准，详见本合同附件18《主要施工机械设备表》；如合同附件18中提供的施工设备或临时设施无法满足按约定的时间、质量标准等完成本合同工程的要求，分包人应自行增加、完善投入的施工设备和临时设施；如承包人认为分包人投入的施工设备或临时设施不足，已影响到工程进度、安全、质量，承包人有权要求分包人在</w:t>
      </w:r>
      <w:r>
        <w:rPr>
          <w:rFonts w:hAnsi="宋体"/>
          <w:color w:val="000000" w:themeColor="text1"/>
          <w:highlight w:val="none"/>
          <w:u w:val="single"/>
          <w14:textFill>
            <w14:solidFill>
              <w14:schemeClr w14:val="tx1"/>
            </w14:solidFill>
          </w14:textFill>
        </w:rPr>
        <w:t>48小时内增加及完善投入的施工设备和临时设施，否则分包人</w:t>
      </w:r>
      <w:r>
        <w:rPr>
          <w:rFonts w:hint="eastAsia" w:hAnsi="宋体"/>
          <w:color w:val="000000" w:themeColor="text1"/>
          <w:highlight w:val="none"/>
          <w:u w:val="single"/>
          <w14:textFill>
            <w14:solidFill>
              <w14:schemeClr w14:val="tx1"/>
            </w14:solidFill>
          </w14:textFill>
        </w:rPr>
        <w:t>每次</w:t>
      </w:r>
      <w:r>
        <w:rPr>
          <w:rFonts w:hAnsi="宋体"/>
          <w:color w:val="000000" w:themeColor="text1"/>
          <w:highlight w:val="none"/>
          <w:u w:val="single"/>
          <w14:textFill>
            <w14:solidFill>
              <w14:schemeClr w14:val="tx1"/>
            </w14:solidFill>
          </w14:textFill>
        </w:rPr>
        <w:t>须向发包人</w:t>
      </w:r>
      <w:r>
        <w:rPr>
          <w:rFonts w:hint="eastAsia" w:hAnsi="宋体"/>
          <w:color w:val="000000" w:themeColor="text1"/>
          <w:highlight w:val="none"/>
          <w:u w:val="single"/>
          <w14:textFill>
            <w14:solidFill>
              <w14:schemeClr w14:val="tx1"/>
            </w14:solidFill>
          </w14:textFill>
        </w:rPr>
        <w:t>按下述6.1.3条约定承担违约责任，且不免除工期违约责任。增加及完善投入的施工设备和临时设施相关费用由分包人承担，包含在签约合同价格中</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.1.3分包人不得以任何理由中途停工，或变相减少施工组织中规定的施工设备，否则经承包人</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发包人和</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确认，视为分包人违约，违约金规定如下：施工</w:t>
      </w:r>
      <w:r>
        <w:rPr>
          <w:color w:val="000000" w:themeColor="text1"/>
          <w:highlight w:val="none"/>
          <w:u w:val="single"/>
          <w14:textFill>
            <w14:solidFill>
              <w14:schemeClr w14:val="tx1"/>
            </w14:solidFill>
          </w14:textFill>
        </w:rPr>
        <w:t>设备</w:t>
      </w:r>
      <w:r>
        <w:rPr>
          <w:rFonts w:hint="eastAsia"/>
          <w:color w:val="000000" w:themeColor="text1"/>
          <w:highlight w:val="none"/>
          <w:u w:val="single"/>
          <w14:textFill>
            <w14:solidFill>
              <w14:schemeClr w14:val="tx1"/>
            </w14:solidFill>
          </w14:textFill>
        </w:rPr>
        <w:t>2</w:t>
      </w:r>
      <w:r>
        <w:rPr>
          <w:color w:val="000000" w:themeColor="text1"/>
          <w:highlight w:val="none"/>
          <w:u w:val="single"/>
          <w14:textFill>
            <w14:solidFill>
              <w14:schemeClr w14:val="tx1"/>
            </w14:solidFill>
          </w14:textFill>
        </w:rPr>
        <w:t>000元/台/天</w:t>
      </w:r>
      <w:r>
        <w:rPr>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6.1.4 分包人施工所需的临时设施应全部在拟建工程占地范围内布置，承包人不提供额外的施工用地。如果分包人出于任何正当的理由，要求临时占用任何额外的施工用地，应尽可能协助分包人获得其所需的临时用地，但所有的费用都应由分包人承担。承包人不承诺保证获得或提供分包人要求的任何临时用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6.1.5 分包人应绘制场地平面布置图，编制施工场地布置方案报承包人、监理人审批、发包人认可，场地布置应满足办公、生活、施工、消防、环保、污水处理一体化等要求。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6.1.6 分包人的</w:t>
      </w:r>
      <w:r>
        <w:rPr>
          <w:rFonts w:hint="eastAsia" w:hAnsi="宋体"/>
          <w:color w:val="000000" w:themeColor="text1"/>
          <w:highlight w:val="none"/>
          <w14:textFill>
            <w14:solidFill>
              <w14:schemeClr w14:val="tx1"/>
            </w14:solidFill>
          </w14:textFill>
        </w:rPr>
        <w:t>施工人员住宿由分包人自行于工地范围外解决并自行考虑住宿费用。本工程场地不能保证场地内材料存放与加工布置需求，分包人应根据现场踏勘情况及施工组织需求综合自行考虑所连带发生的相关费用。</w:t>
      </w:r>
    </w:p>
    <w:p>
      <w:pPr>
        <w:pStyle w:val="77"/>
        <w:ind w:firstLine="482"/>
        <w:rPr>
          <w:b/>
          <w:color w:val="000000" w:themeColor="text1"/>
          <w:highlight w:val="none"/>
          <w14:textFill>
            <w14:solidFill>
              <w14:schemeClr w14:val="tx1"/>
            </w14:solidFill>
          </w14:textFill>
        </w:rPr>
      </w:pPr>
      <w:bookmarkStart w:id="654" w:name="_Toc44492575"/>
      <w:bookmarkStart w:id="655" w:name="_Toc17285"/>
      <w:bookmarkStart w:id="656" w:name="_Toc18204"/>
      <w:r>
        <w:rPr>
          <w:rFonts w:hint="eastAsia"/>
          <w:b/>
          <w:color w:val="000000" w:themeColor="text1"/>
          <w:highlight w:val="none"/>
          <w14:textFill>
            <w14:solidFill>
              <w14:schemeClr w14:val="tx1"/>
            </w14:solidFill>
          </w14:textFill>
        </w:rPr>
        <w:t>6.2. 承包人提供的施工设备和临时设施</w:t>
      </w:r>
      <w:bookmarkEnd w:id="654"/>
      <w:bookmarkEnd w:id="655"/>
      <w:bookmarkEnd w:id="656"/>
    </w:p>
    <w:p>
      <w:pPr>
        <w:pStyle w:val="52"/>
        <w:ind w:firstLine="420"/>
        <w:rPr>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6.2.1. 承包人提供的施工设备或临时设施：</w:t>
      </w:r>
      <w:r>
        <w:rPr>
          <w:rFonts w:hint="eastAsia" w:hAnsi="宋体"/>
          <w:color w:val="000000" w:themeColor="text1"/>
          <w:highlight w:val="none"/>
          <w:u w:val="single"/>
          <w14:textFill>
            <w14:solidFill>
              <w14:schemeClr w14:val="tx1"/>
            </w14:solidFill>
          </w14:textFill>
        </w:rPr>
        <w:t xml:space="preserve"> 详见合同附件6        。</w:t>
      </w:r>
    </w:p>
    <w:p>
      <w:pPr>
        <w:pStyle w:val="73"/>
        <w:rPr>
          <w:color w:val="000000" w:themeColor="text1"/>
          <w:highlight w:val="none"/>
          <w14:textFill>
            <w14:solidFill>
              <w14:schemeClr w14:val="tx1"/>
            </w14:solidFill>
          </w14:textFill>
        </w:rPr>
      </w:pPr>
      <w:bookmarkStart w:id="657" w:name="_Toc91082440"/>
      <w:bookmarkStart w:id="658" w:name="_Toc38987276"/>
      <w:bookmarkStart w:id="659" w:name="_Toc16549"/>
      <w:bookmarkStart w:id="660" w:name="_Toc19119"/>
      <w:bookmarkStart w:id="661" w:name="_Toc21484"/>
      <w:bookmarkStart w:id="662" w:name="_Toc44492576"/>
      <w:bookmarkStart w:id="663" w:name="_Toc44228159"/>
      <w:r>
        <w:rPr>
          <w:rFonts w:hint="eastAsia"/>
          <w:color w:val="000000" w:themeColor="text1"/>
          <w:highlight w:val="none"/>
          <w14:textFill>
            <w14:solidFill>
              <w14:schemeClr w14:val="tx1"/>
            </w14:solidFill>
          </w14:textFill>
        </w:rPr>
        <w:t>7.交通运输</w:t>
      </w:r>
      <w:bookmarkEnd w:id="657"/>
      <w:bookmarkEnd w:id="658"/>
      <w:bookmarkEnd w:id="659"/>
      <w:bookmarkEnd w:id="660"/>
      <w:bookmarkEnd w:id="661"/>
      <w:bookmarkEnd w:id="662"/>
      <w:bookmarkEnd w:id="663"/>
    </w:p>
    <w:p>
      <w:pPr>
        <w:pStyle w:val="77"/>
        <w:ind w:firstLine="480"/>
        <w:rPr>
          <w:color w:val="000000" w:themeColor="text1"/>
          <w:highlight w:val="none"/>
          <w14:textFill>
            <w14:solidFill>
              <w14:schemeClr w14:val="tx1"/>
            </w14:solidFill>
          </w14:textFill>
        </w:rPr>
      </w:pPr>
      <w:bookmarkStart w:id="664" w:name="_Toc44492577"/>
      <w:bookmarkStart w:id="665" w:name="_Toc20281"/>
      <w:bookmarkStart w:id="666" w:name="_Toc18123"/>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 xml:space="preserve">.1 </w:t>
      </w:r>
      <w:r>
        <w:rPr>
          <w:rFonts w:hint="eastAsia"/>
          <w:color w:val="000000" w:themeColor="text1"/>
          <w:highlight w:val="none"/>
          <w14:textFill>
            <w14:solidFill>
              <w14:schemeClr w14:val="tx1"/>
            </w14:solidFill>
          </w14:textFill>
        </w:rPr>
        <w:t>场外交通</w:t>
      </w:r>
      <w:bookmarkEnd w:id="664"/>
      <w:bookmarkEnd w:id="665"/>
      <w:bookmarkEnd w:id="66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 xml:space="preserve"> 分包人车辆外出行驶所需的场外公共道路的通行费、养路费和税款等由分包人自行承担。</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 xml:space="preserve">7.1.3 </w:t>
      </w:r>
      <w:r>
        <w:rPr>
          <w:rFonts w:hint="eastAsia"/>
          <w:color w:val="000000" w:themeColor="text1"/>
          <w:highlight w:val="none"/>
          <w14:textFill>
            <w14:solidFill>
              <w14:schemeClr w14:val="tx1"/>
            </w14:solidFill>
          </w14:textFill>
        </w:rPr>
        <w:t>因分包人施工措施配置需求导致场外临时道路用地范围内的绿化迁移、地面附着物拆迁、管线迁改等工作（如需），相关费用由分包人自行承担。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 xml:space="preserve">.1.4 </w:t>
      </w:r>
      <w:r>
        <w:rPr>
          <w:rFonts w:hint="eastAsia"/>
          <w:color w:val="000000" w:themeColor="text1"/>
          <w:highlight w:val="none"/>
          <w14:textFill>
            <w14:solidFill>
              <w14:schemeClr w14:val="tx1"/>
            </w14:solidFill>
          </w14:textFill>
        </w:rPr>
        <w:t>使用于本项目的泥头车、搅拌车和非道路移动工程机械应满足国家和地方现行法规、政策、规范的全部要求，相关费用（包括环保要求、外运弃置费用等）均已考虑并全部包含在合同价款当中。</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超大件和超重件的运输</w:t>
      </w:r>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宋体" w:hAnsi="宋体"/>
          <w:color w:val="000000" w:themeColor="text1"/>
          <w:highlight w:val="none"/>
          <w14:textFill>
            <w14:solidFill>
              <w14:schemeClr w14:val="tx1"/>
            </w14:solidFill>
          </w14:textFill>
        </w:rPr>
        <w:t>7.3.1.</w:t>
      </w:r>
      <w:r>
        <w:rPr>
          <w:rFonts w:hint="eastAsia" w:ascii="宋体" w:hAnsi="宋体"/>
          <w:color w:val="000000" w:themeColor="text1"/>
          <w:highlight w:val="none"/>
          <w14:textFill>
            <w14:solidFill>
              <w14:schemeClr w14:val="tx1"/>
            </w14:solidFill>
          </w14:textFill>
        </w:rPr>
        <w:tab/>
      </w:r>
      <w:r>
        <w:rPr>
          <w:rFonts w:hint="eastAsia" w:ascii="Times New Roman" w:hAnsi="Times New Roman" w:eastAsia="仿宋_GB2312"/>
          <w:color w:val="000000" w:themeColor="text1"/>
          <w:kern w:val="0"/>
          <w:szCs w:val="32"/>
          <w:highlight w:val="none"/>
          <w14:textFill>
            <w14:solidFill>
              <w14:schemeClr w14:val="tx1"/>
            </w14:solidFill>
          </w14:textFill>
        </w:rPr>
        <w:t>由分包人负责运输的超大件或超重件，应由分包人负责向交通管理部门办理申请手续。运输超大件或超重件所需的道路和桥梁临时加固改造费用和其他有关费用，由分包人承担。</w:t>
      </w:r>
    </w:p>
    <w:p>
      <w:pPr>
        <w:pStyle w:val="73"/>
        <w:rPr>
          <w:color w:val="000000" w:themeColor="text1"/>
          <w:highlight w:val="none"/>
          <w14:textFill>
            <w14:solidFill>
              <w14:schemeClr w14:val="tx1"/>
            </w14:solidFill>
          </w14:textFill>
        </w:rPr>
      </w:pPr>
      <w:bookmarkStart w:id="667" w:name="_Toc13069"/>
      <w:bookmarkStart w:id="668" w:name="_Toc18052"/>
      <w:bookmarkStart w:id="669" w:name="_Toc30971"/>
      <w:bookmarkStart w:id="670" w:name="_Toc91082441"/>
      <w:bookmarkStart w:id="671" w:name="_Toc44492578"/>
      <w:bookmarkStart w:id="672" w:name="_Toc44228160"/>
      <w:bookmarkStart w:id="673" w:name="_Toc38987277"/>
      <w:r>
        <w:rPr>
          <w:rFonts w:hint="eastAsia"/>
          <w:color w:val="000000" w:themeColor="text1"/>
          <w:highlight w:val="none"/>
          <w14:textFill>
            <w14:solidFill>
              <w14:schemeClr w14:val="tx1"/>
            </w14:solidFill>
          </w14:textFill>
        </w:rPr>
        <w:t>8.测量放线</w:t>
      </w:r>
      <w:bookmarkEnd w:id="667"/>
      <w:bookmarkEnd w:id="668"/>
      <w:bookmarkEnd w:id="669"/>
      <w:bookmarkEnd w:id="670"/>
      <w:bookmarkEnd w:id="671"/>
      <w:bookmarkEnd w:id="672"/>
      <w:bookmarkEnd w:id="673"/>
      <w:bookmarkStart w:id="674" w:name="_Toc38987278"/>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8.2.关于测量放线的其他约定：</w:t>
      </w:r>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8.2.1承包人应向分包人提供测量基准点、基准线和水准点及其书面资料。分包人应根据国家测绘基准、测绘系统和工程测量技术规范，按上述基准点（线）以及合同工程精度要求，测设施工控制网，将施工控制网资料报承包人审核并报送监理人审批。</w:t>
      </w:r>
    </w:p>
    <w:p>
      <w:pPr>
        <w:adjustRightInd w:val="0"/>
        <w:snapToGrid w:val="0"/>
        <w:spacing w:line="360" w:lineRule="auto"/>
        <w:ind w:firstLine="420" w:firstLineChars="200"/>
        <w:rPr>
          <w:rFonts w:ascii="Times New Roman" w:hAnsi="Times New Roman"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8.2.2分包人应对承包人移交的测量基准点进行复核并负责管理施工控制网点。施工控制网点丢失或损坏的，分包人应及时修复。分包人应承担施工控制网点的管理与修复费用，并在工程竣工后将施工控制网点移交承包人或发包人。</w:t>
      </w:r>
    </w:p>
    <w:p>
      <w:pPr>
        <w:pStyle w:val="73"/>
        <w:rPr>
          <w:color w:val="000000" w:themeColor="text1"/>
          <w:highlight w:val="none"/>
          <w14:textFill>
            <w14:solidFill>
              <w14:schemeClr w14:val="tx1"/>
            </w14:solidFill>
          </w14:textFill>
        </w:rPr>
      </w:pPr>
      <w:bookmarkStart w:id="675" w:name="_Toc44228161"/>
      <w:bookmarkStart w:id="676" w:name="_Toc23142"/>
      <w:bookmarkStart w:id="677" w:name="_Toc16520"/>
      <w:bookmarkStart w:id="678" w:name="_Toc44492579"/>
      <w:bookmarkStart w:id="679" w:name="_Toc91082442"/>
      <w:bookmarkStart w:id="680" w:name="_Toc23381"/>
      <w:r>
        <w:rPr>
          <w:rFonts w:hint="eastAsia"/>
          <w:color w:val="000000" w:themeColor="text1"/>
          <w:highlight w:val="none"/>
          <w14:textFill>
            <w14:solidFill>
              <w14:schemeClr w14:val="tx1"/>
            </w14:solidFill>
          </w14:textFill>
        </w:rPr>
        <w:t>9.施工安全、治安保卫和环境保护</w:t>
      </w:r>
      <w:bookmarkEnd w:id="674"/>
      <w:bookmarkEnd w:id="675"/>
      <w:bookmarkEnd w:id="676"/>
      <w:bookmarkEnd w:id="677"/>
      <w:bookmarkEnd w:id="678"/>
      <w:bookmarkEnd w:id="679"/>
      <w:bookmarkEnd w:id="680"/>
    </w:p>
    <w:p>
      <w:pPr>
        <w:pStyle w:val="77"/>
        <w:ind w:firstLine="480"/>
        <w:rPr>
          <w:color w:val="000000" w:themeColor="text1"/>
          <w:highlight w:val="none"/>
          <w14:textFill>
            <w14:solidFill>
              <w14:schemeClr w14:val="tx1"/>
            </w14:solidFill>
          </w14:textFill>
        </w:rPr>
      </w:pPr>
      <w:bookmarkStart w:id="681" w:name="_Toc30574"/>
      <w:bookmarkStart w:id="682" w:name="_Toc44492580"/>
      <w:bookmarkStart w:id="683" w:name="_Toc28038"/>
      <w:r>
        <w:rPr>
          <w:rFonts w:hint="eastAsia"/>
          <w:color w:val="000000" w:themeColor="text1"/>
          <w:highlight w:val="none"/>
          <w14:textFill>
            <w14:solidFill>
              <w14:schemeClr w14:val="tx1"/>
            </w14:solidFill>
          </w14:textFill>
        </w:rPr>
        <w:t>9.1.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分包人的施工安全责任</w:t>
      </w:r>
      <w:bookmarkEnd w:id="681"/>
      <w:bookmarkEnd w:id="682"/>
      <w:bookmarkEnd w:id="68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9.1.2. 分包人向承包人、监理人及发包人报送施工安全措施计划的期限：</w:t>
      </w:r>
      <w:r>
        <w:rPr>
          <w:rFonts w:hint="eastAsia" w:hAnsi="宋体"/>
          <w:color w:val="000000" w:themeColor="text1"/>
          <w:highlight w:val="none"/>
          <w:u w:val="single"/>
          <w14:textFill>
            <w14:solidFill>
              <w14:schemeClr w14:val="tx1"/>
            </w14:solidFill>
          </w14:textFill>
        </w:rPr>
        <w:t>进场后</w:t>
      </w:r>
      <w:r>
        <w:rPr>
          <w:rFonts w:hAnsi="宋体"/>
          <w:color w:val="000000" w:themeColor="text1"/>
          <w:highlight w:val="none"/>
          <w:u w:val="single"/>
          <w14:textFill>
            <w14:solidFill>
              <w14:schemeClr w14:val="tx1"/>
            </w14:solidFill>
          </w14:textFill>
        </w:rPr>
        <w:t>3天内</w:t>
      </w:r>
      <w:r>
        <w:rPr>
          <w:rFonts w:hint="eastAsia" w:hAnsi="宋体"/>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9.1.11. 分包人须对其承包范围内（含其分包人）的施工安全进行统一管理，因安全管理问题而引致的损失、被索赔及罚款均由分包人负责。分包人须在开工前7天，提交安全施工管理方案、安全负责人及安全管理团队的名称和资历通过承包人报发包人审批，安全管理团队应与中标文件保持一致。未经发包人及承包人书面同意，分包人不得擅自更换安全负责人，否则分包人应按本合同专用</w:t>
      </w:r>
      <w:r>
        <w:rPr>
          <w:color w:val="000000" w:themeColor="text1"/>
          <w:highlight w:val="none"/>
          <w14:textFill>
            <w14:solidFill>
              <w14:schemeClr w14:val="tx1"/>
            </w14:solidFill>
          </w14:textFill>
        </w:rPr>
        <w:t>条款</w:t>
      </w:r>
      <w:r>
        <w:rPr>
          <w:rFonts w:hint="eastAsia"/>
          <w:color w:val="000000" w:themeColor="text1"/>
          <w:highlight w:val="none"/>
          <w14:textFill>
            <w14:solidFill>
              <w14:schemeClr w14:val="tx1"/>
            </w14:solidFill>
          </w14:textFill>
        </w:rPr>
        <w:t>第</w:t>
      </w:r>
      <w:r>
        <w:rPr>
          <w:color w:val="000000" w:themeColor="text1"/>
          <w:szCs w:val="21"/>
          <w:highlight w:val="none"/>
          <w14:textFill>
            <w14:solidFill>
              <w14:schemeClr w14:val="tx1"/>
            </w14:solidFill>
          </w14:textFill>
        </w:rPr>
        <w:t>22.1</w:t>
      </w:r>
      <w:r>
        <w:rPr>
          <w:rFonts w:hint="eastAsia"/>
          <w:color w:val="000000" w:themeColor="text1"/>
          <w:szCs w:val="21"/>
          <w:highlight w:val="none"/>
          <w14:textFill>
            <w14:solidFill>
              <w14:schemeClr w14:val="tx1"/>
            </w14:solidFill>
          </w14:textFill>
        </w:rPr>
        <w:t>.9.1目第</w:t>
      </w: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）点约定</w:t>
      </w:r>
      <w:r>
        <w:rPr>
          <w:color w:val="000000" w:themeColor="text1"/>
          <w:szCs w:val="21"/>
          <w:highlight w:val="none"/>
          <w14:textFill>
            <w14:solidFill>
              <w14:schemeClr w14:val="tx1"/>
            </w14:solidFill>
          </w14:textFill>
        </w:rPr>
        <w:t>支付违约金</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9.1.12. 安全作业环境及安全施工措施所需费用，已包含在本合同签约合同价格中。</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 xml:space="preserve"> 分包人应当加强对台风、暴雨、洪水、雷暴等自然灾害的预防。对于因自然灾害可能导致事故灾难的隐患，应当按照有关法律、法规、标准的要求排查治理，采取可靠的预防措施，制定应急预案。在接到有关自然灾害预报时，应当及时发出预警通知;发生自然灾害可能危及人员安全的情况时，应当采取撤离人员、停止作业、加强监测等安全措施，并及时向当地人民政府及其有关部门报告。如分包人未及时采取上述预防措施和安全措施的，造成的损失及扩大损失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9.1.14 分包人应遵守本项目承包人的有关现场安全的相关规定，并按本合同附件《安全管理专篇》中要求落实其承包范围内的安全措施并负安全责任，违约的应按《安全管理专篇》违约条款向承包人支付违约金。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9.1.15 分包人应严格遵守发包人及其上级公司已颁布和合同签订后再颁布的安全生产、环境保护等方面制度。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9.1.16 发包人及其上级单位根据公司制度对分包人定期进行安全生产考核，分包人应无条件配合。发包人可将本合同分包人履约情况及时通报上级单位粤海集团。粤海集团有权对分包人的履约情况进行评价（含扣分处理），有权对粤海集团系内承包商进行统筹考核排名并在粤海集团及其下属公司范围内进行公示。</w:t>
      </w:r>
    </w:p>
    <w:p>
      <w:pPr>
        <w:pStyle w:val="77"/>
        <w:ind w:firstLine="480"/>
        <w:rPr>
          <w:color w:val="000000" w:themeColor="text1"/>
          <w:highlight w:val="none"/>
          <w14:textFill>
            <w14:solidFill>
              <w14:schemeClr w14:val="tx1"/>
            </w14:solidFill>
          </w14:textFill>
        </w:rPr>
      </w:pPr>
      <w:bookmarkStart w:id="684" w:name="_Toc3355"/>
      <w:bookmarkStart w:id="685" w:name="_Toc19840"/>
      <w:bookmarkStart w:id="686" w:name="_Toc44492581"/>
      <w:bookmarkStart w:id="687" w:name="_Toc24193085"/>
      <w:r>
        <w:rPr>
          <w:rFonts w:hint="eastAsia"/>
          <w:color w:val="000000" w:themeColor="text1"/>
          <w:highlight w:val="none"/>
          <w14:textFill>
            <w14:solidFill>
              <w14:schemeClr w14:val="tx1"/>
            </w14:solidFill>
          </w14:textFill>
        </w:rPr>
        <w:t>9.2.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治安保卫</w:t>
      </w:r>
      <w:bookmarkEnd w:id="684"/>
      <w:bookmarkEnd w:id="685"/>
      <w:bookmarkEnd w:id="686"/>
      <w:bookmarkEnd w:id="68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9.2.1 通用条款9.2.1修订为：分包人除遵守承包人现场治安管理要求并维护施工场地的社会治安外，还应做好其承包范围内（包括生活区在内）的管辖区的治安保卫工作并负直接责任。</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 环境保护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9.3.5 分包人应按照当地政府要求，完善各项环境保护措施，相关费用已包含在合同暂定价款内。</w:t>
      </w:r>
    </w:p>
    <w:p>
      <w:pPr>
        <w:adjustRightInd w:val="0"/>
        <w:snapToGrid w:val="0"/>
        <w:spacing w:line="360" w:lineRule="auto"/>
        <w:ind w:firstLine="480" w:firstLineChars="200"/>
        <w:rPr>
          <w:rFonts w:ascii="Times New Roman" w:hAnsi="Times New Roman" w:eastAsia="黑体"/>
          <w:bCs/>
          <w:color w:val="000000" w:themeColor="text1"/>
          <w:sz w:val="24"/>
          <w:szCs w:val="32"/>
          <w:highlight w:val="none"/>
          <w14:textFill>
            <w14:solidFill>
              <w14:schemeClr w14:val="tx1"/>
            </w14:solidFill>
          </w14:textFill>
        </w:rPr>
      </w:pPr>
      <w:r>
        <w:rPr>
          <w:rFonts w:hint="eastAsia" w:ascii="Times New Roman" w:hAnsi="Times New Roman" w:eastAsia="黑体"/>
          <w:bCs/>
          <w:color w:val="000000" w:themeColor="text1"/>
          <w:sz w:val="24"/>
          <w:szCs w:val="32"/>
          <w:highlight w:val="none"/>
          <w14:textFill>
            <w14:solidFill>
              <w14:schemeClr w14:val="tx1"/>
            </w14:solidFill>
          </w14:textFill>
        </w:rPr>
        <w:t>9.4.</w:t>
      </w:r>
      <w:r>
        <w:rPr>
          <w:rFonts w:hint="eastAsia" w:ascii="Times New Roman" w:hAnsi="Times New Roman" w:eastAsia="黑体"/>
          <w:bCs/>
          <w:color w:val="000000" w:themeColor="text1"/>
          <w:sz w:val="24"/>
          <w:szCs w:val="32"/>
          <w:highlight w:val="none"/>
          <w14:textFill>
            <w14:solidFill>
              <w14:schemeClr w14:val="tx1"/>
            </w14:solidFill>
          </w14:textFill>
        </w:rPr>
        <w:tab/>
      </w:r>
      <w:r>
        <w:rPr>
          <w:rFonts w:hint="eastAsia" w:ascii="Times New Roman" w:hAnsi="Times New Roman" w:eastAsia="黑体"/>
          <w:bCs/>
          <w:color w:val="000000" w:themeColor="text1"/>
          <w:sz w:val="24"/>
          <w:szCs w:val="32"/>
          <w:highlight w:val="none"/>
          <w14:textFill>
            <w14:solidFill>
              <w14:schemeClr w14:val="tx1"/>
            </w14:solidFill>
          </w14:textFill>
        </w:rPr>
        <w:t>事故处理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9.4.3 本合同有关施工安全、治安保卫和环境保护的事故违约责任按本合同附件9和16及本合同其他条款及附件约定执行。</w:t>
      </w:r>
    </w:p>
    <w:p>
      <w:pPr>
        <w:pStyle w:val="52"/>
        <w:ind w:firstLine="480"/>
        <w:rPr>
          <w:rFonts w:eastAsia="黑体"/>
          <w:bCs/>
          <w:color w:val="000000" w:themeColor="text1"/>
          <w:kern w:val="2"/>
          <w:sz w:val="24"/>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9.5 绿色施工安全防护措施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9.5.1分包人的绿色施工安全防护措施除满足国家、规章、规范及当地相关政府主管部门要求外，还需满足以下要求：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应严格遵守国家及地方政府颁发的安全施工、文明施工等规范、条例。发包人和监理人及承包人的现场施工管理规定是本合同的组成部分，分包人有义务遵守。分包人施工用设施的搭设应报监理批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（2）分包人现场办公室应配置安全、完好的办公设备，包括复印机、电脑、打印机、传真机等。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（3）分包人全体现场施工人员应统一管理，全部施工人员应佩带工作牌。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施工期间，所有机械、工具、材料等应堆放整齐，场地平整。施工过程中分包人承包范围内每个楼层的多余材料、建筑垃圾必须通过井架或垃圾槽运输到承包人指定位置，严禁从高空直接向下抛物，所有绿色施工安全防护措施标注必须符合规范、当地政府主管部门、承包人、发包人及监理人要求。文明施工措施费应包含在投标报价中，若漏报，则视为让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（5）施工用设备及场地要求具体要求包括不限于以下内容：</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现场临电的低压配电系统均必须为三相五线制，分包人的现场用电必须至少有两级漏电开关，分包人的漏电开关必须至少接在分包人其中一级的漏电开关之后。分包人对分包人用电进行管理，违反上述约定应对分包人进行处罚。</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分包人进场后不按上述要求施工的，则承包人有权委托第三方单位施工，并扣减分包人对应的合同价款。同时，分包人应按第三方施工单位所有实际施工费用的2倍向发包人支付违约金，且承包人有权从向分包人支付的工程款中直接扣减。</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）对于发包人或监理下发的安全文明整改通知单，分包人必须无条件予以整改并达到承包人、发包人验收要求，否则按违约处理，承包人有权利在分包人应付工程款中直接扣除相应的违约金。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分包人为本合同承包范围内的现场绿色施工安全防护措施的责任单位，有权利和责任管理其项下分包的绿色施工安全防护措施并应与分包方在进场后15天内签定绿色施工安全防护措施协议，该协议需报发包人、监理人、承包人审核及备案，因分包人对各分包人缺乏安全监管或防控的原因，造成安全事故的和财产损失的，分包人应承担连带责任。相应的费用由分包人在报价中综合考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）分包人全体现场施工人员用餐必需到指定食堂或者划分的指定区域，发现违规者承包人有权处罚每人每次100～500元。</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9.5.2 分包人应遵守国家有关环境保护、卫生监督的法律，按照合同约定采取有效措施，保证施工场地达到环境保护、卫生部门的管理要求。在本工程竣工验收及场地移交后的</w:t>
      </w:r>
      <w:r>
        <w:rPr>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天内，清理现场，运走全部施工设备、剩余材料和垃圾，保持施工场地和合同工程的清洁整齐。否则，承包人可自行处理或委托第三方处理留下的物品，所得金额在扣除由此发生的清理处置费用之后，将余额退还给分包人。</w:t>
      </w:r>
    </w:p>
    <w:p>
      <w:pPr>
        <w:pStyle w:val="52"/>
        <w:ind w:firstLine="480"/>
        <w:rPr>
          <w:rFonts w:eastAsia="黑体"/>
          <w:bCs/>
          <w:color w:val="000000" w:themeColor="text1"/>
          <w:kern w:val="2"/>
          <w:sz w:val="24"/>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 xml:space="preserve">9.6安全管理机构及人员配备要求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9.6.1分包人必须达到《建筑施工企业安全生产管理机构设置及专职安全生产管理人员配备办法》要求，配备足够专职安全生产管理人员。</w:t>
      </w:r>
    </w:p>
    <w:p>
      <w:pPr>
        <w:pStyle w:val="52"/>
        <w:ind w:firstLine="420"/>
        <w:rPr>
          <w:rFonts w:ascii="仿宋_GB2312"/>
          <w:color w:val="000000" w:themeColor="text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9.6.2如不能达到安全管理要求的岗位能力，承包人有权要求更换安全管理人员，分包人必须无条件执行。</w:t>
      </w:r>
    </w:p>
    <w:p>
      <w:pPr>
        <w:pStyle w:val="52"/>
        <w:ind w:firstLine="480"/>
        <w:rPr>
          <w:rFonts w:eastAsia="黑体"/>
          <w:bCs/>
          <w:color w:val="000000" w:themeColor="text1"/>
          <w:kern w:val="2"/>
          <w:sz w:val="24"/>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9.7施工准备阶段的安全生产工作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9.7.1严格贯彻住建部令37号《危险性较大的分部分项工程安全管理规定》要求，施工前必须编制施工组织设计（方案）、专项工程施工方案和安全生产保证措施；组织专家评审危险性较大的专项工程施工方案，评审未通过的不得进入施工阶段。</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9.7.2建立健全工程安全生产责任制度、安全生产保证体系，根据工程施工特点，配备相应职业资格等级及数量的专职安全管理人员。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9.7.3结合风险特点，编制与工程相适应的生产安全事故应急救援预案，落实救援器材、设备的储备，配备足够的应急救援机构人员；开展应急管理，组织应急演练，提高作业人员应急处置能力。</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9.7.4制定工程的安全生产、文明施工措施费使用计划和相关保证措施，配置施工安全防护用具、用品。</w:t>
      </w:r>
    </w:p>
    <w:p>
      <w:pPr>
        <w:pStyle w:val="52"/>
        <w:ind w:firstLine="420"/>
        <w:rPr>
          <w:rFonts w:ascii="仿宋_GB2312"/>
          <w:color w:val="000000" w:themeColor="text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9.7.5需分包人按规定办理的有关施工场地交通、环境保护、施工噪音、绿色施工安全防护措施等手续：分包人应在签订本合同之日起30个日历天内或承包人另行通知的时间内，负责按法律、法规和规章及有关部门要求办理完成为履行本工程施工所需的所有场地交通、环境保护、施工噪音、绿色施工安全防护措施、夜间施工、泥浆及污水排放、安全生产管理、质量安全监督、渣土运输等相关手续，并由分包人承担所有费用，该等费用已包含在本合同价款中。若因上述手续未及时办理影响施工或造成政府部门处罚，工期不予延长，承包人不给予任何费用补偿，由此给承包人带来的损失由分包人承担。</w:t>
      </w:r>
    </w:p>
    <w:p>
      <w:pPr>
        <w:pStyle w:val="52"/>
        <w:ind w:firstLine="480"/>
        <w:rPr>
          <w:rFonts w:eastAsia="黑体"/>
          <w:bCs/>
          <w:color w:val="000000" w:themeColor="text1"/>
          <w:kern w:val="2"/>
          <w:sz w:val="24"/>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9.8施工实施阶段的安全生产工作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9.8.1严格按照发包人及承包人审查认可的施工组织设计（方案）、专项工程施工方案和安全生产保证措施组织施工；严格安全生产、文明施工措施费的使用计划，单列措施费台账，确保安全生产措施费用根据项目实际进展的有效投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9.8.2所有进入施工现场的作业人员，必须经过安全生产教育培训，未经教育培训或者教育培训考核不合格的人员，不得上岗作业；工程施工前，分包人负责工程管理的技术人员应当对有关安全施工的技术要求向施工作业班组、作业人员作出详细说明，并由双方签字确认；工程所采用的新技术、新工艺、新设备、新材料，应当对作业人员进行相应的安全生产教育培训；电工、金属焊接(切割)工、垂直运输机械作业人员、安装拆卸工、起重信号工、登高架设高处作业人员等特种作业人员，必须按照国家有关规定经过专门的安全作业培训，并取得特种作业操作资格证书后，方可上岗作业；对现场从事危险作业的人员办理意外伤害保险；不得在尚未竣工的建筑物内设置员工集体宿舍。</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9.8.3对所承担工程进行定期和专项安全检查，并做好隐患排查治理，保存好安全检查记录；同时必须强化重点风险作业过程安全管控，尤其是动火作业、起重吊装、高处作业、基坑施工、施工用电等方面。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9.8.4对进入现场的安全防护用具、用品、机械设备、施工机具及配件等，必须核查其生产、检验（测）等相应证书，无生产、检验（测）合格记录等相应证书的不得使用，并做好日常检查、维修和保养以及相应记录资料归档工作；在使用施工起重机械、垂直升降机械设施前，必须依法组织进行登记验收，验收合格后方可使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9.8.5在工程现场入口处、施工起重机械、临时用电设施、脚手架、出入通道口、楼梯口、电梯井口、孔洞口、基坑边沿、易燃物以及有害危险气体和液体存放处等危险部位，必须设置明显的安全警示标志。</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9.8.6根据不同施工阶段和周围环境及季节、气候的变化，在施工现场必须采取相应的安全施工措施。</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9.8.7工程施工需要实施劳务作业，分包人必须分包给具有相应资质、安全条件的劳务分包企业，在签订分包合同中应当明确各自的安全生产方面的权利、义务，并进行施工安全生产交底。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9.8.8保证安全设施、环保设施、消防设施、劳动安全卫生设施及设备的质量和安装质量，确保通过验收。</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9.9合同安全管理专篇</w:t>
      </w:r>
    </w:p>
    <w:p>
      <w:pPr>
        <w:pStyle w:val="77"/>
        <w:ind w:firstLine="420"/>
        <w:outlineLvl w:val="9"/>
        <w:rPr>
          <w:color w:val="000000" w:themeColor="text1"/>
          <w:highlight w:val="none"/>
          <w14:textFill>
            <w14:solidFill>
              <w14:schemeClr w14:val="tx1"/>
            </w14:solidFill>
          </w14:textFill>
        </w:rPr>
      </w:pPr>
      <w:r>
        <w:rPr>
          <w:rFonts w:hint="eastAsia" w:eastAsia="仿宋_GB2312"/>
          <w:color w:val="000000" w:themeColor="text1"/>
          <w:kern w:val="0"/>
          <w:sz w:val="21"/>
          <w:highlight w:val="none"/>
          <w14:textFill>
            <w14:solidFill>
              <w14:schemeClr w14:val="tx1"/>
            </w14:solidFill>
          </w14:textFill>
        </w:rPr>
        <w:t>除以上施工安全、治安保卫、环境保护相关要求外，分包人应按本合同附件16《合同安全管理专篇》严格落实安全生产管理要求，且须在签署本合同的同时与承包人签署本合同附件15《安全管理协议书》。另外，分包人必须遵守承包人对本工程施工现场安全、治安保卫、环境保护等统一管理要求及其他总包管理与服务，不得以任何理由拒绝与承包人签署安全管理协议及其他与总包管理与服务相关的协议。若本合同第9.1~9.8款施工安全、治安保护和环境保护的相关约定与《合同安全管理专篇》、《安全管理协议书》约定有重复的，以从严约定为准执行。</w:t>
      </w:r>
    </w:p>
    <w:p>
      <w:pPr>
        <w:pStyle w:val="73"/>
        <w:rPr>
          <w:color w:val="000000" w:themeColor="text1"/>
          <w:highlight w:val="none"/>
          <w14:textFill>
            <w14:solidFill>
              <w14:schemeClr w14:val="tx1"/>
            </w14:solidFill>
          </w14:textFill>
        </w:rPr>
      </w:pPr>
      <w:bookmarkStart w:id="688" w:name="_Toc31420"/>
      <w:bookmarkStart w:id="689" w:name="_Toc91082443"/>
      <w:bookmarkStart w:id="690" w:name="_Toc44228162"/>
      <w:bookmarkStart w:id="691" w:name="_Toc38987279"/>
      <w:bookmarkStart w:id="692" w:name="_Toc17702"/>
      <w:bookmarkStart w:id="693" w:name="_Toc18500"/>
      <w:bookmarkStart w:id="694" w:name="_Toc44492582"/>
      <w:r>
        <w:rPr>
          <w:rFonts w:hint="eastAsia"/>
          <w:color w:val="000000" w:themeColor="text1"/>
          <w:highlight w:val="none"/>
          <w14:textFill>
            <w14:solidFill>
              <w14:schemeClr w14:val="tx1"/>
            </w14:solidFill>
          </w14:textFill>
        </w:rPr>
        <w:t>10.进度计划</w:t>
      </w:r>
      <w:bookmarkEnd w:id="688"/>
      <w:bookmarkEnd w:id="689"/>
      <w:bookmarkEnd w:id="690"/>
      <w:bookmarkEnd w:id="691"/>
      <w:bookmarkEnd w:id="692"/>
      <w:bookmarkEnd w:id="693"/>
      <w:bookmarkEnd w:id="694"/>
    </w:p>
    <w:p>
      <w:pPr>
        <w:pStyle w:val="77"/>
        <w:ind w:firstLine="480"/>
        <w:rPr>
          <w:color w:val="000000" w:themeColor="text1"/>
          <w:highlight w:val="none"/>
          <w14:textFill>
            <w14:solidFill>
              <w14:schemeClr w14:val="tx1"/>
            </w14:solidFill>
          </w14:textFill>
        </w:rPr>
      </w:pPr>
      <w:bookmarkStart w:id="695" w:name="_Toc29779"/>
      <w:bookmarkStart w:id="696" w:name="_Toc11459"/>
      <w:bookmarkStart w:id="697" w:name="_Toc44492583"/>
      <w:r>
        <w:rPr>
          <w:rFonts w:hint="eastAsia"/>
          <w:color w:val="000000" w:themeColor="text1"/>
          <w:highlight w:val="none"/>
          <w14:textFill>
            <w14:solidFill>
              <w14:schemeClr w14:val="tx1"/>
            </w14:solidFill>
          </w14:textFill>
        </w:rPr>
        <w:t>10.1.   合同进度计划</w:t>
      </w:r>
      <w:bookmarkEnd w:id="695"/>
      <w:bookmarkEnd w:id="696"/>
      <w:bookmarkEnd w:id="69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10.1.1.  </w:t>
      </w:r>
      <w:r>
        <w:rPr>
          <w:rFonts w:hint="eastAsia" w:hAnsi="宋体"/>
          <w:color w:val="000000" w:themeColor="text1"/>
          <w:highlight w:val="none"/>
          <w14:textFill>
            <w14:solidFill>
              <w14:schemeClr w14:val="tx1"/>
            </w14:solidFill>
          </w14:textFill>
        </w:rPr>
        <w:t>分包人向承包人提供的计划、报表名称及提交时间：</w:t>
      </w:r>
      <w:r>
        <w:rPr>
          <w:rFonts w:hint="eastAsia"/>
          <w:color w:val="000000" w:themeColor="text1"/>
          <w:highlight w:val="none"/>
          <w14:textFill>
            <w14:solidFill>
              <w14:schemeClr w14:val="tx1"/>
            </w14:solidFill>
          </w14:textFill>
        </w:rPr>
        <w:t>分包人签订合同后7天内</w:t>
      </w:r>
      <w:r>
        <w:rPr>
          <w:rFonts w:hint="eastAsia"/>
          <w:color w:val="000000" w:themeColor="text1"/>
          <w:highlight w:val="none"/>
          <w:u w:val="single"/>
          <w14:textFill>
            <w14:solidFill>
              <w14:schemeClr w14:val="tx1"/>
            </w14:solidFill>
          </w14:textFill>
        </w:rPr>
        <w:t>按发包人、监理人、承包人要求提供施工组织计划及总进度计划、材料设备报批及采购计划（包括按合同要求报审报批材料设备、提供材料设备样品及材料设备进场及施工安装等计划）总计划等资料。</w:t>
      </w:r>
      <w:r>
        <w:rPr>
          <w:rFonts w:hint="eastAsia"/>
          <w:color w:val="000000" w:themeColor="text1"/>
          <w:highlight w:val="none"/>
          <w14:textFill>
            <w14:solidFill>
              <w14:schemeClr w14:val="tx1"/>
            </w14:solidFill>
          </w14:textFill>
        </w:rPr>
        <w:t>如分包人未按时提交或中标后7天内提交的施工计划不满足要求，则需按照5000元/天向承包人支付违约金，直至提交计划合格。</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10.1.2. 合同实施过程中承包人控制的关键工期节点时间及违约金如下表：</w:t>
      </w:r>
    </w:p>
    <w:tbl>
      <w:tblPr>
        <w:tblStyle w:val="37"/>
        <w:tblW w:w="10201" w:type="dxa"/>
        <w:jc w:val="center"/>
        <w:tblLayout w:type="fixed"/>
        <w:tblCellMar>
          <w:top w:w="0" w:type="dxa"/>
          <w:left w:w="108" w:type="dxa"/>
          <w:bottom w:w="0" w:type="dxa"/>
          <w:right w:w="108" w:type="dxa"/>
        </w:tblCellMar>
      </w:tblPr>
      <w:tblGrid>
        <w:gridCol w:w="849"/>
        <w:gridCol w:w="3119"/>
        <w:gridCol w:w="1701"/>
        <w:gridCol w:w="1559"/>
        <w:gridCol w:w="2973"/>
      </w:tblGrid>
      <w:tr>
        <w:tblPrEx>
          <w:tblCellMar>
            <w:top w:w="0" w:type="dxa"/>
            <w:left w:w="108" w:type="dxa"/>
            <w:bottom w:w="0" w:type="dxa"/>
            <w:right w:w="108" w:type="dxa"/>
          </w:tblCellMar>
        </w:tblPrEx>
        <w:trPr>
          <w:trHeight w:val="529" w:hRule="atLeast"/>
          <w:jc w:val="center"/>
        </w:trPr>
        <w:tc>
          <w:tcPr>
            <w:tcW w:w="10201" w:type="dxa"/>
            <w:gridSpan w:val="5"/>
            <w:tcBorders>
              <w:top w:val="single" w:color="auto" w:sz="4" w:space="0"/>
              <w:left w:val="single" w:color="auto" w:sz="4" w:space="0"/>
              <w:bottom w:val="single" w:color="auto" w:sz="4" w:space="0"/>
              <w:right w:val="single" w:color="000000" w:sz="4" w:space="0"/>
            </w:tcBorders>
            <w:shd w:val="clear" w:color="auto" w:fill="auto"/>
            <w:vAlign w:val="center"/>
          </w:tcPr>
          <w:p>
            <w:pPr>
              <w:autoSpaceDE w:val="0"/>
              <w:autoSpaceDN w:val="0"/>
              <w:adjustRightInd w:val="0"/>
              <w:ind w:firstLine="562" w:firstLineChars="200"/>
              <w:jc w:val="center"/>
              <w:rPr>
                <w:rFonts w:ascii="仿宋" w:hAnsi="仿宋" w:eastAsia="仿宋"/>
                <w:b/>
                <w:color w:val="000000" w:themeColor="text1"/>
                <w:sz w:val="28"/>
                <w:highlight w:val="none"/>
                <w14:textFill>
                  <w14:solidFill>
                    <w14:schemeClr w14:val="tx1"/>
                  </w14:solidFill>
                </w14:textFill>
              </w:rPr>
            </w:pPr>
            <w:bookmarkStart w:id="698" w:name="_Hlk123204498"/>
            <w:r>
              <w:rPr>
                <w:rFonts w:hint="eastAsia" w:ascii="仿宋" w:hAnsi="仿宋" w:eastAsia="仿宋"/>
                <w:b/>
                <w:color w:val="000000" w:themeColor="text1"/>
                <w:sz w:val="28"/>
                <w:highlight w:val="none"/>
                <w14:textFill>
                  <w14:solidFill>
                    <w14:schemeClr w14:val="tx1"/>
                  </w14:solidFill>
                </w14:textFill>
              </w:rPr>
              <w:t>9#地块外电工程工期要求</w:t>
            </w:r>
          </w:p>
        </w:tc>
      </w:tr>
      <w:tr>
        <w:tblPrEx>
          <w:tblCellMar>
            <w:top w:w="0" w:type="dxa"/>
            <w:left w:w="108" w:type="dxa"/>
            <w:bottom w:w="0" w:type="dxa"/>
            <w:right w:w="108" w:type="dxa"/>
          </w:tblCellMar>
        </w:tblPrEx>
        <w:trPr>
          <w:trHeight w:val="530" w:hRule="atLeast"/>
          <w:jc w:val="center"/>
        </w:trPr>
        <w:tc>
          <w:tcPr>
            <w:tcW w:w="84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s="宋体"/>
                <w:color w:val="000000" w:themeColor="text1"/>
                <w:kern w:val="0"/>
                <w:szCs w:val="21"/>
                <w:highlight w:val="none"/>
                <w14:textFill>
                  <w14:solidFill>
                    <w14:schemeClr w14:val="tx1"/>
                  </w14:solidFill>
                </w14:textFill>
              </w:rPr>
              <w:t>序号</w:t>
            </w:r>
          </w:p>
        </w:tc>
        <w:tc>
          <w:tcPr>
            <w:tcW w:w="3119"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事项</w:t>
            </w:r>
          </w:p>
        </w:tc>
        <w:tc>
          <w:tcPr>
            <w:tcW w:w="1701"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开始时间</w:t>
            </w:r>
          </w:p>
        </w:tc>
        <w:tc>
          <w:tcPr>
            <w:tcW w:w="1559"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完成时间</w:t>
            </w:r>
          </w:p>
        </w:tc>
        <w:tc>
          <w:tcPr>
            <w:tcW w:w="2973"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备注</w:t>
            </w:r>
          </w:p>
        </w:tc>
      </w:tr>
      <w:tr>
        <w:tblPrEx>
          <w:tblCellMar>
            <w:top w:w="0" w:type="dxa"/>
            <w:left w:w="108" w:type="dxa"/>
            <w:bottom w:w="0" w:type="dxa"/>
            <w:right w:w="108" w:type="dxa"/>
          </w:tblCellMar>
        </w:tblPrEx>
        <w:trPr>
          <w:trHeight w:val="587" w:hRule="atLeast"/>
          <w:jc w:val="center"/>
        </w:trPr>
        <w:tc>
          <w:tcPr>
            <w:tcW w:w="84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kern w:val="0"/>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1</w:t>
            </w:r>
          </w:p>
        </w:tc>
        <w:tc>
          <w:tcPr>
            <w:tcW w:w="3119" w:type="dxa"/>
            <w:tcBorders>
              <w:top w:val="single" w:color="auto" w:sz="4" w:space="0"/>
              <w:left w:val="nil"/>
              <w:bottom w:val="single" w:color="auto" w:sz="4" w:space="0"/>
              <w:right w:val="single" w:color="auto" w:sz="4" w:space="0"/>
            </w:tcBorders>
            <w:shd w:val="clear" w:color="auto" w:fill="auto"/>
            <w:vAlign w:val="center"/>
          </w:tcPr>
          <w:p>
            <w:pPr>
              <w:rPr>
                <w:rFonts w:ascii="仿宋" w:hAnsi="仿宋" w:eastAsia="仿宋"/>
                <w:color w:val="000000" w:themeColor="text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红线外管廊开挖报建手续</w:t>
            </w:r>
          </w:p>
        </w:tc>
        <w:tc>
          <w:tcPr>
            <w:tcW w:w="1701" w:type="dxa"/>
            <w:vMerge w:val="restart"/>
            <w:tcBorders>
              <w:top w:val="single" w:color="auto" w:sz="4" w:space="0"/>
              <w:left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r>
              <w:rPr>
                <w:rFonts w:ascii="仿宋" w:hAnsi="仿宋" w:eastAsia="仿宋" w:cs="宋体"/>
                <w:color w:val="000000" w:themeColor="text1"/>
                <w:kern w:val="0"/>
                <w:szCs w:val="21"/>
                <w:highlight w:val="none"/>
                <w14:textFill>
                  <w14:solidFill>
                    <w14:schemeClr w14:val="tx1"/>
                  </w14:solidFill>
                </w14:textFill>
              </w:rPr>
              <w:t>A</w:t>
            </w:r>
          </w:p>
        </w:tc>
        <w:tc>
          <w:tcPr>
            <w:tcW w:w="1559" w:type="dxa"/>
            <w:tcBorders>
              <w:top w:val="single" w:color="auto" w:sz="4" w:space="0"/>
              <w:left w:val="nil"/>
              <w:bottom w:val="single" w:color="auto" w:sz="4" w:space="0"/>
              <w:right w:val="single" w:color="auto" w:sz="4" w:space="0"/>
            </w:tcBorders>
            <w:shd w:val="clear" w:color="auto" w:fill="auto"/>
            <w:vAlign w:val="center"/>
          </w:tcPr>
          <w:p>
            <w:pPr>
              <w:jc w:val="center"/>
              <w:rPr>
                <w:rFonts w:ascii="仿宋" w:hAnsi="仿宋" w:eastAsia="仿宋"/>
                <w:color w:val="000000" w:themeColor="text1"/>
                <w:highlight w:val="none"/>
                <w14:textFill>
                  <w14:solidFill>
                    <w14:schemeClr w14:val="tx1"/>
                  </w14:solidFill>
                </w14:textFill>
              </w:rPr>
            </w:pPr>
            <w:r>
              <w:rPr>
                <w:rFonts w:ascii="仿宋" w:hAnsi="仿宋" w:eastAsia="仿宋"/>
                <w:color w:val="000000" w:themeColor="text1"/>
                <w:highlight w:val="none"/>
                <w14:textFill>
                  <w14:solidFill>
                    <w14:schemeClr w14:val="tx1"/>
                  </w14:solidFill>
                </w14:textFill>
              </w:rPr>
              <w:t>A+</w:t>
            </w:r>
            <w:r>
              <w:rPr>
                <w:rFonts w:hint="eastAsia" w:ascii="仿宋" w:hAnsi="仿宋" w:eastAsia="仿宋"/>
                <w:color w:val="000000" w:themeColor="text1"/>
                <w:highlight w:val="none"/>
                <w14:textFill>
                  <w14:solidFill>
                    <w14:schemeClr w14:val="tx1"/>
                  </w14:solidFill>
                </w14:textFill>
              </w:rPr>
              <w:t>80</w:t>
            </w:r>
          </w:p>
        </w:tc>
        <w:tc>
          <w:tcPr>
            <w:tcW w:w="2973" w:type="dxa"/>
            <w:vMerge w:val="restart"/>
            <w:tcBorders>
              <w:top w:val="single" w:color="auto" w:sz="4" w:space="0"/>
              <w:left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r>
              <w:rPr>
                <w:rFonts w:hint="eastAsia" w:ascii="仿宋" w:hAnsi="仿宋" w:eastAsia="仿宋" w:cs="宋体"/>
                <w:color w:val="000000" w:themeColor="text1"/>
                <w:kern w:val="0"/>
                <w:szCs w:val="21"/>
                <w:highlight w:val="none"/>
                <w14:textFill>
                  <w14:solidFill>
                    <w14:schemeClr w14:val="tx1"/>
                  </w14:solidFill>
                </w14:textFill>
              </w:rPr>
              <w:t>A暂定为2023年8月11日,具体以开工时间为准</w:t>
            </w:r>
          </w:p>
        </w:tc>
      </w:tr>
      <w:tr>
        <w:tblPrEx>
          <w:tblCellMar>
            <w:top w:w="0" w:type="dxa"/>
            <w:left w:w="108" w:type="dxa"/>
            <w:bottom w:w="0" w:type="dxa"/>
            <w:right w:w="108" w:type="dxa"/>
          </w:tblCellMar>
        </w:tblPrEx>
        <w:trPr>
          <w:trHeight w:val="569" w:hRule="atLeast"/>
          <w:jc w:val="center"/>
        </w:trPr>
        <w:tc>
          <w:tcPr>
            <w:tcW w:w="84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kern w:val="0"/>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2</w:t>
            </w:r>
          </w:p>
        </w:tc>
        <w:tc>
          <w:tcPr>
            <w:tcW w:w="3119" w:type="dxa"/>
            <w:tcBorders>
              <w:top w:val="single" w:color="auto" w:sz="4" w:space="0"/>
              <w:left w:val="nil"/>
              <w:bottom w:val="single" w:color="auto" w:sz="4" w:space="0"/>
              <w:right w:val="single" w:color="auto" w:sz="4" w:space="0"/>
            </w:tcBorders>
            <w:shd w:val="clear" w:color="auto" w:fill="auto"/>
            <w:vAlign w:val="center"/>
          </w:tcPr>
          <w:p>
            <w:pPr>
              <w:widowControl/>
              <w:rPr>
                <w:rFonts w:ascii="仿宋" w:hAnsi="仿宋" w:eastAsia="仿宋" w:cs="宋体"/>
                <w:color w:val="000000" w:themeColor="text1"/>
                <w:kern w:val="0"/>
                <w:szCs w:val="2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施工阶段</w:t>
            </w:r>
          </w:p>
        </w:tc>
        <w:tc>
          <w:tcPr>
            <w:tcW w:w="1701" w:type="dxa"/>
            <w:vMerge w:val="continue"/>
            <w:tcBorders>
              <w:left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p>
        </w:tc>
        <w:tc>
          <w:tcPr>
            <w:tcW w:w="1559"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r>
              <w:rPr>
                <w:rFonts w:ascii="仿宋" w:hAnsi="仿宋" w:eastAsia="仿宋"/>
                <w:color w:val="000000" w:themeColor="text1"/>
                <w:highlight w:val="none"/>
                <w14:textFill>
                  <w14:solidFill>
                    <w14:schemeClr w14:val="tx1"/>
                  </w14:solidFill>
                </w14:textFill>
              </w:rPr>
              <w:t>A+1</w:t>
            </w:r>
            <w:r>
              <w:rPr>
                <w:rFonts w:hint="eastAsia" w:ascii="仿宋" w:hAnsi="仿宋" w:eastAsia="仿宋"/>
                <w:color w:val="000000" w:themeColor="text1"/>
                <w:highlight w:val="none"/>
                <w14:textFill>
                  <w14:solidFill>
                    <w14:schemeClr w14:val="tx1"/>
                  </w14:solidFill>
                </w14:textFill>
              </w:rPr>
              <w:t>4</w:t>
            </w:r>
            <w:r>
              <w:rPr>
                <w:rFonts w:ascii="仿宋" w:hAnsi="仿宋" w:eastAsia="仿宋"/>
                <w:color w:val="000000" w:themeColor="text1"/>
                <w:highlight w:val="none"/>
                <w14:textFill>
                  <w14:solidFill>
                    <w14:schemeClr w14:val="tx1"/>
                  </w14:solidFill>
                </w14:textFill>
              </w:rPr>
              <w:t>0</w:t>
            </w:r>
          </w:p>
        </w:tc>
        <w:tc>
          <w:tcPr>
            <w:tcW w:w="2973" w:type="dxa"/>
            <w:vMerge w:val="continue"/>
            <w:tcBorders>
              <w:left w:val="single" w:color="auto" w:sz="4" w:space="0"/>
              <w:right w:val="single" w:color="auto" w:sz="4" w:space="0"/>
            </w:tcBorders>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p>
        </w:tc>
      </w:tr>
      <w:tr>
        <w:tblPrEx>
          <w:tblCellMar>
            <w:top w:w="0" w:type="dxa"/>
            <w:left w:w="108" w:type="dxa"/>
            <w:bottom w:w="0" w:type="dxa"/>
            <w:right w:w="108" w:type="dxa"/>
          </w:tblCellMar>
        </w:tblPrEx>
        <w:trPr>
          <w:trHeight w:val="569" w:hRule="atLeast"/>
          <w:jc w:val="center"/>
        </w:trPr>
        <w:tc>
          <w:tcPr>
            <w:tcW w:w="849"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olor w:val="000000" w:themeColor="text1"/>
                <w:kern w:val="0"/>
                <w:highlight w:val="none"/>
                <w14:textFill>
                  <w14:solidFill>
                    <w14:schemeClr w14:val="tx1"/>
                  </w14:solidFill>
                </w14:textFill>
              </w:rPr>
            </w:pPr>
            <w:r>
              <w:rPr>
                <w:rFonts w:hint="eastAsia" w:ascii="仿宋" w:hAnsi="仿宋" w:eastAsia="仿宋"/>
                <w:color w:val="000000" w:themeColor="text1"/>
                <w:kern w:val="0"/>
                <w:highlight w:val="none"/>
                <w14:textFill>
                  <w14:solidFill>
                    <w14:schemeClr w14:val="tx1"/>
                  </w14:solidFill>
                </w14:textFill>
              </w:rPr>
              <w:t>3</w:t>
            </w:r>
          </w:p>
        </w:tc>
        <w:tc>
          <w:tcPr>
            <w:tcW w:w="3119" w:type="dxa"/>
            <w:tcBorders>
              <w:top w:val="single" w:color="auto" w:sz="4" w:space="0"/>
              <w:left w:val="nil"/>
              <w:bottom w:val="single" w:color="auto" w:sz="4" w:space="0"/>
              <w:right w:val="single" w:color="auto" w:sz="4" w:space="0"/>
            </w:tcBorders>
            <w:shd w:val="clear" w:color="auto" w:fill="auto"/>
            <w:vAlign w:val="center"/>
          </w:tcPr>
          <w:p>
            <w:pPr>
              <w:widowControl/>
              <w:rPr>
                <w:rFonts w:ascii="仿宋" w:hAnsi="仿宋" w:eastAsia="仿宋" w:cs="宋体"/>
                <w:color w:val="000000" w:themeColor="text1"/>
                <w:kern w:val="0"/>
                <w:szCs w:val="21"/>
                <w:highlight w:val="none"/>
                <w14:textFill>
                  <w14:solidFill>
                    <w14:schemeClr w14:val="tx1"/>
                  </w14:solidFill>
                </w14:textFill>
              </w:rPr>
            </w:pPr>
            <w:r>
              <w:rPr>
                <w:rFonts w:hint="eastAsia" w:ascii="仿宋" w:hAnsi="仿宋" w:eastAsia="仿宋"/>
                <w:color w:val="000000" w:themeColor="text1"/>
                <w:highlight w:val="none"/>
                <w14:textFill>
                  <w14:solidFill>
                    <w14:schemeClr w14:val="tx1"/>
                  </w14:solidFill>
                </w14:textFill>
              </w:rPr>
              <w:t>验收阶段（竣工经验收合格及送电）</w:t>
            </w:r>
          </w:p>
        </w:tc>
        <w:tc>
          <w:tcPr>
            <w:tcW w:w="1701" w:type="dxa"/>
            <w:vMerge w:val="continue"/>
            <w:tcBorders>
              <w:left w:val="single" w:color="auto" w:sz="4" w:space="0"/>
              <w:bottom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p>
        </w:tc>
        <w:tc>
          <w:tcPr>
            <w:tcW w:w="1559" w:type="dxa"/>
            <w:tcBorders>
              <w:top w:val="single" w:color="auto" w:sz="4" w:space="0"/>
              <w:left w:val="nil"/>
              <w:bottom w:val="single" w:color="auto" w:sz="4" w:space="0"/>
              <w:right w:val="single" w:color="auto" w:sz="4" w:space="0"/>
            </w:tcBorders>
            <w:shd w:val="clear" w:color="auto" w:fill="auto"/>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r>
              <w:rPr>
                <w:rFonts w:ascii="仿宋" w:hAnsi="仿宋" w:eastAsia="仿宋"/>
                <w:color w:val="000000" w:themeColor="text1"/>
                <w:highlight w:val="none"/>
                <w14:textFill>
                  <w14:solidFill>
                    <w14:schemeClr w14:val="tx1"/>
                  </w14:solidFill>
                </w14:textFill>
              </w:rPr>
              <w:t>A+1</w:t>
            </w:r>
            <w:r>
              <w:rPr>
                <w:rFonts w:hint="eastAsia" w:ascii="仿宋" w:hAnsi="仿宋" w:eastAsia="仿宋"/>
                <w:color w:val="000000" w:themeColor="text1"/>
                <w:highlight w:val="none"/>
                <w14:textFill>
                  <w14:solidFill>
                    <w14:schemeClr w14:val="tx1"/>
                  </w14:solidFill>
                </w14:textFill>
              </w:rPr>
              <w:t>7</w:t>
            </w:r>
            <w:r>
              <w:rPr>
                <w:rFonts w:ascii="仿宋" w:hAnsi="仿宋" w:eastAsia="仿宋"/>
                <w:color w:val="000000" w:themeColor="text1"/>
                <w:highlight w:val="none"/>
                <w14:textFill>
                  <w14:solidFill>
                    <w14:schemeClr w14:val="tx1"/>
                  </w14:solidFill>
                </w14:textFill>
              </w:rPr>
              <w:t>0</w:t>
            </w:r>
          </w:p>
        </w:tc>
        <w:tc>
          <w:tcPr>
            <w:tcW w:w="2973" w:type="dxa"/>
            <w:vMerge w:val="continue"/>
            <w:tcBorders>
              <w:left w:val="single" w:color="auto" w:sz="4" w:space="0"/>
              <w:bottom w:val="single" w:color="auto" w:sz="4" w:space="0"/>
              <w:right w:val="single" w:color="auto" w:sz="4" w:space="0"/>
            </w:tcBorders>
            <w:vAlign w:val="center"/>
          </w:tcPr>
          <w:p>
            <w:pPr>
              <w:widowControl/>
              <w:jc w:val="center"/>
              <w:rPr>
                <w:rFonts w:ascii="仿宋" w:hAnsi="仿宋" w:eastAsia="仿宋" w:cs="宋体"/>
                <w:color w:val="000000" w:themeColor="text1"/>
                <w:kern w:val="0"/>
                <w:szCs w:val="21"/>
                <w:highlight w:val="none"/>
                <w14:textFill>
                  <w14:solidFill>
                    <w14:schemeClr w14:val="tx1"/>
                  </w14:solidFill>
                </w14:textFill>
              </w:rPr>
            </w:pPr>
          </w:p>
        </w:tc>
      </w:tr>
      <w:bookmarkEnd w:id="698"/>
    </w:tbl>
    <w:p>
      <w:pPr>
        <w:pStyle w:val="52"/>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注：</w:t>
      </w:r>
    </w:p>
    <w:p>
      <w:pPr>
        <w:pStyle w:val="52"/>
        <w:numPr>
          <w:ilvl w:val="0"/>
          <w:numId w:val="3"/>
        </w:numPr>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以上工期节点为本合同的关键控制节点，除本合同另有约定外，分包人未在上述约定的工期节点完成的，每延迟一天，承包人有权按</w:t>
      </w:r>
      <w:r>
        <w:rPr>
          <w:rFonts w:hint="eastAsia"/>
          <w:color w:val="000000" w:themeColor="text1"/>
          <w:highlight w:val="none"/>
          <w:u w:val="single"/>
          <w14:textFill>
            <w14:solidFill>
              <w14:schemeClr w14:val="tx1"/>
            </w14:solidFill>
          </w14:textFill>
        </w:rPr>
        <w:t xml:space="preserve"> 2 </w:t>
      </w:r>
      <w:r>
        <w:rPr>
          <w:color w:val="000000" w:themeColor="text1"/>
          <w:highlight w:val="none"/>
          <w14:textFill>
            <w14:solidFill>
              <w14:schemeClr w14:val="tx1"/>
            </w14:solidFill>
          </w14:textFill>
        </w:rPr>
        <w:t>万元</w:t>
      </w:r>
      <w:r>
        <w:rPr>
          <w:rFonts w:hint="eastAsia"/>
          <w:color w:val="000000" w:themeColor="text1"/>
          <w:highlight w:val="none"/>
          <w14:textFill>
            <w14:solidFill>
              <w14:schemeClr w14:val="tx1"/>
            </w14:solidFill>
          </w14:textFill>
        </w:rPr>
        <w:t>/天的标准暂缓支付当期应付工程款。如分包人在下一个关键工期完成节点将累计已延误的工期赶回的（即下一个工期节点按时完成），则承包人将前期因工期延误而暂缓支付的工程款返还给分包人；如分包人未能在下一个关键工期完成节点赶回已延误工期的，除暂缓支付当期工程款外，上期已暂缓支付的工程款转为分包人节点工期延误违约金处理。本合同对工期延误违约约定与关键工期节点重叠的，按并处违约执行。工期延误违约处理</w:t>
      </w:r>
      <w:r>
        <w:rPr>
          <w:rFonts w:hint="eastAsia" w:hAnsi="宋体"/>
          <w:color w:val="000000" w:themeColor="text1"/>
          <w:highlight w:val="none"/>
          <w14:textFill>
            <w14:solidFill>
              <w14:schemeClr w14:val="tx1"/>
            </w14:solidFill>
          </w14:textFill>
        </w:rPr>
        <w:t>并不免除分包人需按本合同约定完成履约的义务。</w:t>
      </w:r>
      <w:r>
        <w:rPr>
          <w:rFonts w:hint="eastAsia"/>
          <w:color w:val="000000" w:themeColor="text1"/>
          <w:highlight w:val="none"/>
          <w14:textFill>
            <w14:solidFill>
              <w14:schemeClr w14:val="tx1"/>
            </w14:solidFill>
          </w14:textFill>
        </w:rPr>
        <w:t>分包人原因导致“</w:t>
      </w:r>
      <w:r>
        <w:rPr>
          <w:rFonts w:hint="eastAsia" w:ascii="仿宋" w:hAnsi="仿宋" w:eastAsia="仿宋"/>
          <w:color w:val="000000" w:themeColor="text1"/>
          <w:highlight w:val="none"/>
          <w14:textFill>
            <w14:solidFill>
              <w14:schemeClr w14:val="tx1"/>
            </w14:solidFill>
          </w14:textFill>
        </w:rPr>
        <w:t>红线外管廊开挖报建手续</w:t>
      </w:r>
      <w:r>
        <w:rPr>
          <w:rFonts w:hint="eastAsia"/>
          <w:color w:val="000000" w:themeColor="text1"/>
          <w:highlight w:val="none"/>
          <w14:textFill>
            <w14:solidFill>
              <w14:schemeClr w14:val="tx1"/>
            </w14:solidFill>
          </w14:textFill>
        </w:rPr>
        <w:t>”节点逾期完成超15天以上的，经发包人书面同意，承包人有权单方面解除合同，同时补偿因逾期开工而发生的承包人、发包人的所有损失。</w:t>
      </w:r>
    </w:p>
    <w:p>
      <w:pPr>
        <w:pStyle w:val="52"/>
        <w:numPr>
          <w:ilvl w:val="0"/>
          <w:numId w:val="3"/>
        </w:numPr>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分包人原因导致逾期开工15天以内的，每逾期一天，应向承包人偿付</w:t>
      </w:r>
      <w:r>
        <w:rPr>
          <w:rFonts w:hint="eastAsia"/>
          <w:color w:val="000000" w:themeColor="text1"/>
          <w:highlight w:val="none"/>
          <w:u w:val="single"/>
          <w14:textFill>
            <w14:solidFill>
              <w14:schemeClr w14:val="tx1"/>
            </w14:solidFill>
          </w14:textFill>
        </w:rPr>
        <w:t>本工程合同中标价（合同签约合同价格）万分之五</w:t>
      </w:r>
      <w:r>
        <w:rPr>
          <w:rFonts w:hint="eastAsia"/>
          <w:color w:val="000000" w:themeColor="text1"/>
          <w:highlight w:val="none"/>
          <w14:textFill>
            <w14:solidFill>
              <w14:schemeClr w14:val="tx1"/>
            </w14:solidFill>
          </w14:textFill>
        </w:rPr>
        <w:t>的违约金；累计逾期15天以上的，经发包人书面同意，承包人有权单方面解除合同，同时补偿因逾期开工而导致承包人的所有损失。</w:t>
      </w:r>
    </w:p>
    <w:p>
      <w:pPr>
        <w:pStyle w:val="52"/>
        <w:numPr>
          <w:ilvl w:val="0"/>
          <w:numId w:val="3"/>
        </w:numPr>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分包人原因导致逾期竣工，每逾期一天，应向承包人偿付</w:t>
      </w:r>
      <w:r>
        <w:rPr>
          <w:rFonts w:hint="eastAsia"/>
          <w:color w:val="000000" w:themeColor="text1"/>
          <w:highlight w:val="none"/>
          <w:u w:val="single"/>
          <w14:textFill>
            <w14:solidFill>
              <w14:schemeClr w14:val="tx1"/>
            </w14:solidFill>
          </w14:textFill>
        </w:rPr>
        <w:t>签约合同价格的万分之五</w:t>
      </w:r>
      <w:r>
        <w:rPr>
          <w:rFonts w:hint="eastAsia"/>
          <w:color w:val="000000" w:themeColor="text1"/>
          <w:highlight w:val="none"/>
          <w14:textFill>
            <w14:solidFill>
              <w14:schemeClr w14:val="tx1"/>
            </w14:solidFill>
          </w14:textFill>
        </w:rPr>
        <w:t>的违约金。</w:t>
      </w:r>
    </w:p>
    <w:p>
      <w:pPr>
        <w:pStyle w:val="52"/>
        <w:numPr>
          <w:ilvl w:val="0"/>
          <w:numId w:val="3"/>
        </w:numPr>
        <w:ind w:firstLine="42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分包人原因导致工期延误引起第三方索赔的，分包人除按上述工期延误或节点延误承担违约责任外，另应承担第三方索赔及承包人全部损失。</w:t>
      </w:r>
    </w:p>
    <w:p>
      <w:pPr>
        <w:pStyle w:val="4"/>
        <w:numPr>
          <w:ilvl w:val="2"/>
          <w:numId w:val="0"/>
        </w:numPr>
        <w:tabs>
          <w:tab w:val="left" w:pos="0"/>
        </w:tabs>
        <w:spacing w:before="0" w:after="0"/>
        <w:ind w:firstLine="420" w:firstLineChars="200"/>
        <w:rPr>
          <w:rFonts w:eastAsia="仿宋_GB2312"/>
          <w:b w:val="0"/>
          <w:bCs w:val="0"/>
          <w:color w:val="000000" w:themeColor="text1"/>
          <w:kern w:val="0"/>
          <w:sz w:val="21"/>
          <w:highlight w:val="none"/>
          <w14:textFill>
            <w14:solidFill>
              <w14:schemeClr w14:val="tx1"/>
            </w14:solidFill>
          </w14:textFill>
        </w:rPr>
      </w:pPr>
      <w:r>
        <w:rPr>
          <w:rFonts w:hint="eastAsia" w:eastAsia="仿宋_GB2312"/>
          <w:b w:val="0"/>
          <w:bCs w:val="0"/>
          <w:color w:val="000000" w:themeColor="text1"/>
          <w:kern w:val="0"/>
          <w:sz w:val="21"/>
          <w:highlight w:val="none"/>
          <w14:textFill>
            <w14:solidFill>
              <w14:schemeClr w14:val="tx1"/>
            </w14:solidFill>
          </w14:textFill>
        </w:rPr>
        <w:t>10.1.3分包人按照发包人及承包人要求根据总工期计划按时制定月度计划及周计划报予承包人、发包人审核并实施，承包人将根据经审批通过的月度计划及周计划考核分包人。分包人未按经审批通过的月度计划完成施工任务或延期完成的，承包人有权视影响进度的严重程度依据考核结果向分包人索赔，分包人未按月度或周计划完成施工任务，每延误一天且对工期产生实质性影响的，分包人则应向承包人按</w:t>
      </w:r>
      <w:r>
        <w:rPr>
          <w:rFonts w:hint="eastAsia" w:eastAsia="仿宋_GB2312"/>
          <w:b w:val="0"/>
          <w:bCs w:val="0"/>
          <w:color w:val="000000" w:themeColor="text1"/>
          <w:kern w:val="0"/>
          <w:sz w:val="21"/>
          <w:highlight w:val="none"/>
          <w:u w:val="single"/>
          <w14:textFill>
            <w14:solidFill>
              <w14:schemeClr w14:val="tx1"/>
            </w14:solidFill>
          </w14:textFill>
        </w:rPr>
        <w:t xml:space="preserve"> </w:t>
      </w:r>
      <w:r>
        <w:rPr>
          <w:rFonts w:eastAsia="仿宋_GB2312"/>
          <w:b w:val="0"/>
          <w:bCs w:val="0"/>
          <w:color w:val="000000" w:themeColor="text1"/>
          <w:kern w:val="0"/>
          <w:sz w:val="21"/>
          <w:highlight w:val="none"/>
          <w:u w:val="single"/>
          <w14:textFill>
            <w14:solidFill>
              <w14:schemeClr w14:val="tx1"/>
            </w14:solidFill>
          </w14:textFill>
        </w:rPr>
        <w:t>500</w:t>
      </w:r>
      <w:r>
        <w:rPr>
          <w:rFonts w:hint="eastAsia" w:eastAsia="仿宋_GB2312"/>
          <w:b w:val="0"/>
          <w:bCs w:val="0"/>
          <w:color w:val="000000" w:themeColor="text1"/>
          <w:kern w:val="0"/>
          <w:sz w:val="21"/>
          <w:highlight w:val="none"/>
          <w:u w:val="single"/>
          <w14:textFill>
            <w14:solidFill>
              <w14:schemeClr w14:val="tx1"/>
            </w14:solidFill>
          </w14:textFill>
        </w:rPr>
        <w:t>~</w:t>
      </w:r>
      <w:r>
        <w:rPr>
          <w:rFonts w:eastAsia="仿宋_GB2312"/>
          <w:b w:val="0"/>
          <w:bCs w:val="0"/>
          <w:color w:val="000000" w:themeColor="text1"/>
          <w:kern w:val="0"/>
          <w:sz w:val="21"/>
          <w:highlight w:val="none"/>
          <w:u w:val="single"/>
          <w14:textFill>
            <w14:solidFill>
              <w14:schemeClr w14:val="tx1"/>
            </w14:solidFill>
          </w14:textFill>
        </w:rPr>
        <w:t>3000</w:t>
      </w:r>
      <w:r>
        <w:rPr>
          <w:rFonts w:hint="eastAsia" w:eastAsia="仿宋_GB2312"/>
          <w:b w:val="0"/>
          <w:bCs w:val="0"/>
          <w:color w:val="000000" w:themeColor="text1"/>
          <w:kern w:val="0"/>
          <w:sz w:val="21"/>
          <w:highlight w:val="none"/>
          <w:u w:val="single"/>
          <w14:textFill>
            <w14:solidFill>
              <w14:schemeClr w14:val="tx1"/>
            </w14:solidFill>
          </w14:textFill>
        </w:rPr>
        <w:t xml:space="preserve">  </w:t>
      </w:r>
      <w:r>
        <w:rPr>
          <w:rFonts w:hint="eastAsia" w:eastAsia="仿宋_GB2312"/>
          <w:b w:val="0"/>
          <w:bCs w:val="0"/>
          <w:color w:val="000000" w:themeColor="text1"/>
          <w:kern w:val="0"/>
          <w:sz w:val="21"/>
          <w:highlight w:val="none"/>
          <w14:textFill>
            <w14:solidFill>
              <w14:schemeClr w14:val="tx1"/>
            </w14:solidFill>
          </w14:textFill>
        </w:rPr>
        <w:t>元/天的标准支付违约金，并不免除分包人需完成的施工任务。若因分包人原因未能于下月内完成上月重要的原计划事项的，则违约金将加倍收取，以此类推。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10.1.4. 分包人每月</w:t>
      </w:r>
      <w:r>
        <w:rPr>
          <w:rFonts w:hint="eastAsia"/>
          <w:color w:val="000000" w:themeColor="text1"/>
          <w:highlight w:val="none"/>
          <w:u w:val="single"/>
          <w14:textFill>
            <w14:solidFill>
              <w14:schemeClr w14:val="tx1"/>
            </w14:solidFill>
          </w14:textFill>
        </w:rPr>
        <w:t>2</w:t>
      </w:r>
      <w:r>
        <w:rPr>
          <w:color w:val="000000" w:themeColor="text1"/>
          <w:highlight w:val="none"/>
          <w:u w:val="single"/>
          <w14:textFill>
            <w14:solidFill>
              <w14:schemeClr w14:val="tx1"/>
            </w14:solidFill>
          </w14:textFill>
        </w:rPr>
        <w:t>5</w:t>
      </w:r>
      <w:r>
        <w:rPr>
          <w:rFonts w:hint="eastAsia"/>
          <w:color w:val="000000" w:themeColor="text1"/>
          <w:highlight w:val="none"/>
          <w14:textFill>
            <w14:solidFill>
              <w14:schemeClr w14:val="tx1"/>
            </w14:solidFill>
          </w14:textFill>
        </w:rPr>
        <w:t>日前通过承包人分别向发包人及监理人</w:t>
      </w:r>
      <w:r>
        <w:rPr>
          <w:rFonts w:hint="eastAsia" w:hAnsi="宋体"/>
          <w:color w:val="000000" w:themeColor="text1"/>
          <w:highlight w:val="none"/>
          <w14:textFill>
            <w14:solidFill>
              <w14:schemeClr w14:val="tx1"/>
            </w14:solidFill>
          </w14:textFill>
        </w:rPr>
        <w:t>提供详细的</w:t>
      </w:r>
      <w:r>
        <w:rPr>
          <w:rFonts w:hint="eastAsia" w:hAnsi="宋体"/>
          <w:color w:val="000000" w:themeColor="text1"/>
          <w:highlight w:val="none"/>
          <w:u w:val="single"/>
          <w14:textFill>
            <w14:solidFill>
              <w14:schemeClr w14:val="tx1"/>
            </w14:solidFill>
          </w14:textFill>
        </w:rPr>
        <w:t xml:space="preserve">上月20日至当月20日  </w:t>
      </w:r>
      <w:r>
        <w:rPr>
          <w:rFonts w:hint="eastAsia" w:hAnsi="宋体"/>
          <w:color w:val="000000" w:themeColor="text1"/>
          <w:highlight w:val="none"/>
          <w14:textFill>
            <w14:solidFill>
              <w14:schemeClr w14:val="tx1"/>
            </w14:solidFill>
          </w14:textFill>
        </w:rPr>
        <w:t>已完形象进度与工程量报表（含材料进场记录等报表资料、设计变更及工程签证）及下月施工进度计划</w:t>
      </w:r>
      <w:r>
        <w:rPr>
          <w:rFonts w:hint="eastAsia"/>
          <w:color w:val="000000" w:themeColor="text1"/>
          <w:highlight w:val="none"/>
          <w14:textFill>
            <w14:solidFill>
              <w14:schemeClr w14:val="tx1"/>
            </w14:solidFill>
          </w14:textFill>
        </w:rPr>
        <w:t>，承包人收到资料后3天内完成审核并提交发包人及监理人。</w:t>
      </w:r>
    </w:p>
    <w:p>
      <w:pPr>
        <w:pStyle w:val="52"/>
        <w:spacing w:before="120" w:beforeLines="50"/>
        <w:ind w:firstLine="422"/>
        <w:rPr>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10.3计划管理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10.3.1施工计划的提交：分包人中标后7天内应通过承包人提交满足以下要求的项目施工计划至监理人及发包单位审核。</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1）施工计划各节点均不得超出投标版本计划；</w:t>
      </w:r>
    </w:p>
    <w:p>
      <w:pPr>
        <w:pStyle w:val="52"/>
        <w:ind w:firstLine="420"/>
        <w:rPr>
          <w:rFonts w:eastAsia="宋体"/>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2）施工计划中各期计划必须包含10.1.2表内的关键施工节点；</w:t>
      </w:r>
      <w:r>
        <w:rPr>
          <w:rStyle w:val="45"/>
          <w:rFonts w:hint="eastAsia" w:ascii="Calibri" w:hAnsi="Calibri"/>
          <w:color w:val="000000" w:themeColor="text1"/>
          <w:kern w:val="2"/>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3）施工计划应加盖分包人公章并获承包人书面确认；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4）不得超出招标文件中对工期的要求；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10.3.2分包人有责任根据现场工作的开展进度更新及/或重新编制进度计划和施工组织设计,分包人应在七日内书面将修改后的新计划报发包人和监理审阅备案，特殊情况下分包人可向发包人申请适当延期提供。如分包人原因不能按时提供最新的计划，每逾期一天，承包人有关按专用条款10.1.1向分包人索赔。</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10.3.3分包人应按时提供月度工程施工计划及报表，该部分计划和报表应包括工程量清单、工程造价、施工进度、质量状况，以及人力安排、增加人力的来源、各种材料、设备的用量和消耗等，同时根据发包人和监理的要求提供周计划。月计划须于上一月的25日前提供下一个月的月计划和上一个月的月度报告；周计划须在每周工程例会前一天下午16:00之前报送发包人和监理人。不按时上报分解计划及报表的，月计划每延期一天收取违约金5000元，周计划每延期一天收取违约金5000元。所报计划无量化指标者按相应延期处罚。</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10.3.4</w:t>
      </w:r>
      <w:r>
        <w:rPr>
          <w:rFonts w:hint="eastAsia"/>
          <w:color w:val="000000" w:themeColor="text1"/>
          <w:highlight w:val="none"/>
          <w14:textFill>
            <w14:solidFill>
              <w14:schemeClr w14:val="tx1"/>
            </w14:solidFill>
          </w14:textFill>
        </w:rPr>
        <w:t>分包人所报的施工总进度计划又称三级进度或合同进度，它应当较为详细、完整并符合发包人的工程总进度计划（即二级进度）。该进度计划应包括竣工时间、各分项工程的开始、完（竣）工和验收时间等。此施工总进度计划一经发包人和监理及承包人确认后，无论是否已发生变更，分包人均有义务至少应在每个季度的最后一个月的</w:t>
      </w:r>
      <w:r>
        <w:rPr>
          <w:color w:val="000000" w:themeColor="text1"/>
          <w:highlight w:val="none"/>
          <w14:textFill>
            <w14:solidFill>
              <w14:schemeClr w14:val="tx1"/>
            </w14:solidFill>
          </w14:textFill>
        </w:rPr>
        <w:t>25</w:t>
      </w:r>
      <w:r>
        <w:rPr>
          <w:rFonts w:hint="eastAsia"/>
          <w:color w:val="000000" w:themeColor="text1"/>
          <w:highlight w:val="none"/>
          <w14:textFill>
            <w14:solidFill>
              <w14:schemeClr w14:val="tx1"/>
            </w14:solidFill>
          </w14:textFill>
        </w:rPr>
        <w:t>日，向承包人、发包人和监理提交最新的、经过修改的、动态的施工总进度计划，并由其审核备案，但对于发包人和承包人明确不得延误的阶段性施工目标不得擅自更改（合同已明确规定需延期或非分包人原因影响的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10.3.5分包人应当按照本合同约定的竣工日期竣工。为确保工程的顺利进行,发包人和承包人有权要求分包人合理调整施工的顺序和非关键路径的工期安排。</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10.3.6除非合同已有其他约定，否则分包人承诺不以现场及周边环境、政府和行业的检查及管理、节假日、法定假日、农忙、人员短缺等为由提出各种形式的工期和费用的索赔。</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10.3.7在合同期内，分包人应按合同和发包人及承包人的要求提交所需要的全部资料和文件，包括但不限于分包人的施工组织设计、施工总进度计划、资金需求和工程产值计划、劳动力需求计划、材料设备的供货和配合计划、专项进度计划、质量保证大纲和手册、施工机械进退场计划等。如分包人不能按时提供上述计划或文件，每逾期一天，需支付的违约金同专用条款“10.1.1及10.3.3”。</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10.3.8 分包人施工计划应与经发包人批准的总承包施工计划相匹配，充分考虑各搭接专业及搭接合同段的施工配合。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10.3.9分包人的总体施工进度由分包人协调平衡，以满足发包人和监理人及承包人对整个施工过程中阶段性工期的控制要求，对此分包人负有不可推卸的责任。分包人在编制所有工程施工计划时，应充分考虑相关专业、部位和工序的施工顺序应合理安排进度，确保分包人和各专业工程分包人都能按计划有序地完成各自的工程施工任务。</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10.3.1</w:t>
      </w:r>
      <w:r>
        <w:rPr>
          <w:rFonts w:hint="eastAsia"/>
          <w:color w:val="000000" w:themeColor="text1"/>
          <w:highlight w:val="none"/>
          <w14:textFill>
            <w14:solidFill>
              <w14:schemeClr w14:val="tx1"/>
            </w14:solidFill>
          </w14:textFill>
        </w:rPr>
        <w:t>0不论是何原因（包括工程发生较大调整、设计、施工、发包人和监理指令等），导致分包人所报计划需重新制订或部分调整修改，分包人应在该原因发生后七日内以书面形式将修改后的新计划报承包人、发包人和监理人审核审批，特殊情况下分包人可通过承包人向发包人申请适当延期提供。如分包人不能按时提供修改后的新计划，每逾期一天，需支付的违约金同专用条款“10.1.1”。</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10.3.11每周工程例会前一天向发包人和监理及承包人报送周报，包括上周计划和完成情况、对未完工作的情况说明和拟采取的措施（包括拟采取措施、最终完成时间）、本周计划和其他事项等。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10.3.12分包人提交的施工机械进退场计划应包括施工机械的名称、数量、已使用的年限、折旧总年限、规格型号、主要的性能、进退场的时间、目前的状态、来源、合同期内的维修保养计划等内容。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10.3.13发包人和监理人及承包人对分包人所提交的所有进度计划、施工组织设计、施工方案的批准和认可，不</w:t>
      </w:r>
      <w:r>
        <w:rPr>
          <w:color w:val="000000" w:themeColor="text1"/>
          <w:highlight w:val="none"/>
          <w14:textFill>
            <w14:solidFill>
              <w14:schemeClr w14:val="tx1"/>
            </w14:solidFill>
          </w14:textFill>
        </w:rPr>
        <w:t>视为对</w:t>
      </w:r>
      <w:r>
        <w:rPr>
          <w:rFonts w:hint="eastAsia"/>
          <w:color w:val="000000" w:themeColor="text1"/>
          <w:highlight w:val="none"/>
          <w14:textFill>
            <w14:solidFill>
              <w14:schemeClr w14:val="tx1"/>
            </w14:solidFill>
          </w14:textFill>
        </w:rPr>
        <w:t>本</w:t>
      </w:r>
      <w:r>
        <w:rPr>
          <w:color w:val="000000" w:themeColor="text1"/>
          <w:highlight w:val="none"/>
          <w14:textFill>
            <w14:solidFill>
              <w14:schemeClr w14:val="tx1"/>
            </w14:solidFill>
          </w14:textFill>
        </w:rPr>
        <w:t>合同工期</w:t>
      </w:r>
      <w:r>
        <w:rPr>
          <w:rFonts w:hint="eastAsia"/>
          <w:color w:val="000000" w:themeColor="text1"/>
          <w:highlight w:val="none"/>
          <w14:textFill>
            <w14:solidFill>
              <w14:schemeClr w14:val="tx1"/>
            </w14:solidFill>
          </w14:textFill>
        </w:rPr>
        <w:t>、质量、安全、价格等约定</w:t>
      </w:r>
      <w:r>
        <w:rPr>
          <w:color w:val="000000" w:themeColor="text1"/>
          <w:highlight w:val="none"/>
          <w14:textFill>
            <w14:solidFill>
              <w14:schemeClr w14:val="tx1"/>
            </w14:solidFill>
          </w14:textFill>
        </w:rPr>
        <w:t>的</w:t>
      </w:r>
      <w:r>
        <w:rPr>
          <w:rFonts w:hint="eastAsia"/>
          <w:color w:val="000000" w:themeColor="text1"/>
          <w:highlight w:val="none"/>
          <w14:textFill>
            <w14:solidFill>
              <w14:schemeClr w14:val="tx1"/>
            </w14:solidFill>
          </w14:textFill>
        </w:rPr>
        <w:t>调</w:t>
      </w:r>
      <w:r>
        <w:rPr>
          <w:color w:val="000000" w:themeColor="text1"/>
          <w:highlight w:val="none"/>
          <w14:textFill>
            <w14:solidFill>
              <w14:schemeClr w14:val="tx1"/>
            </w14:solidFill>
          </w14:textFill>
        </w:rPr>
        <w:t>整，</w:t>
      </w:r>
      <w:r>
        <w:rPr>
          <w:rFonts w:hint="eastAsia"/>
          <w:color w:val="000000" w:themeColor="text1"/>
          <w:highlight w:val="none"/>
          <w14:textFill>
            <w14:solidFill>
              <w14:schemeClr w14:val="tx1"/>
            </w14:solidFill>
          </w14:textFill>
        </w:rPr>
        <w:t>均不应减轻</w:t>
      </w:r>
      <w:r>
        <w:rPr>
          <w:color w:val="000000" w:themeColor="text1"/>
          <w:highlight w:val="none"/>
          <w14:textFill>
            <w14:solidFill>
              <w14:schemeClr w14:val="tx1"/>
            </w14:solidFill>
          </w14:textFill>
        </w:rPr>
        <w:t>或</w:t>
      </w:r>
      <w:r>
        <w:rPr>
          <w:rFonts w:hint="eastAsia"/>
          <w:color w:val="000000" w:themeColor="text1"/>
          <w:highlight w:val="none"/>
          <w14:textFill>
            <w14:solidFill>
              <w14:schemeClr w14:val="tx1"/>
            </w14:solidFill>
          </w14:textFill>
        </w:rPr>
        <w:t>免除分包人应承担的责任和义务。</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10.3.14分包人通过承包人提交给发包人和监理人的所有计划和报表以及文件等的时间，均以发包人或监理人的书面签收为准，如果分包人虽按时提供但不符合合同要求，需一日内修正完毕并重新上报。对不能按合同要求按时提供（发包人书面认可的特殊情况下的延期除外）或上报文件不符合合同要求时未能按时修正重新上报的，按照5000元/天向承包人支付违约金，直至提交计划合格。</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10.3.15分包人与承包人签订现场管理协议后，向承包人申请办理相关进场手续。</w:t>
      </w:r>
    </w:p>
    <w:p>
      <w:pPr>
        <w:pStyle w:val="73"/>
        <w:rPr>
          <w:color w:val="000000" w:themeColor="text1"/>
          <w:highlight w:val="none"/>
          <w14:textFill>
            <w14:solidFill>
              <w14:schemeClr w14:val="tx1"/>
            </w14:solidFill>
          </w14:textFill>
        </w:rPr>
      </w:pPr>
      <w:bookmarkStart w:id="699" w:name="_Toc91082444"/>
      <w:bookmarkStart w:id="700" w:name="_Toc44492584"/>
      <w:bookmarkStart w:id="701" w:name="_Toc1274"/>
      <w:bookmarkStart w:id="702" w:name="_Toc26381"/>
      <w:bookmarkStart w:id="703" w:name="_Toc38987280"/>
      <w:bookmarkStart w:id="704" w:name="_Toc26413"/>
      <w:bookmarkStart w:id="705" w:name="_Toc44228163"/>
      <w:r>
        <w:rPr>
          <w:rFonts w:hint="eastAsia"/>
          <w:color w:val="000000" w:themeColor="text1"/>
          <w:highlight w:val="none"/>
          <w14:textFill>
            <w14:solidFill>
              <w14:schemeClr w14:val="tx1"/>
            </w14:solidFill>
          </w14:textFill>
        </w:rPr>
        <w:t>11.开工和竣工</w:t>
      </w:r>
      <w:bookmarkEnd w:id="699"/>
      <w:bookmarkEnd w:id="700"/>
      <w:bookmarkEnd w:id="701"/>
      <w:bookmarkEnd w:id="702"/>
      <w:bookmarkEnd w:id="703"/>
      <w:bookmarkEnd w:id="704"/>
      <w:bookmarkEnd w:id="705"/>
    </w:p>
    <w:p>
      <w:pPr>
        <w:pStyle w:val="77"/>
        <w:ind w:firstLine="480"/>
        <w:rPr>
          <w:color w:val="000000" w:themeColor="text1"/>
          <w:highlight w:val="none"/>
          <w14:textFill>
            <w14:solidFill>
              <w14:schemeClr w14:val="tx1"/>
            </w14:solidFill>
          </w14:textFill>
        </w:rPr>
      </w:pPr>
      <w:bookmarkStart w:id="706" w:name="_Toc25354"/>
      <w:bookmarkStart w:id="707" w:name="_Toc44492585"/>
      <w:bookmarkStart w:id="708" w:name="_Toc30101"/>
      <w:r>
        <w:rPr>
          <w:rFonts w:hint="eastAsia"/>
          <w:color w:val="000000" w:themeColor="text1"/>
          <w:highlight w:val="none"/>
          <w14:textFill>
            <w14:solidFill>
              <w14:schemeClr w14:val="tx1"/>
            </w14:solidFill>
          </w14:textFill>
        </w:rPr>
        <w:t>11.1.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开工</w:t>
      </w:r>
      <w:bookmarkEnd w:id="706"/>
      <w:bookmarkEnd w:id="707"/>
      <w:bookmarkEnd w:id="708"/>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通用条款11.1.3修改为：分包人不能按时开工的，应当不迟于承包人要求的开工日期前7天，通过承包人以书面形式向发包人和监理人提出延期开工的理由和要求。发包人和监理人应当在接到延期开工申请后的48小时内以书面形式答复承包人、分包人。发包人和监理人在接到延期开工申请后48小时内不答复，视为不同意分包人要求，工期不相应顺延。发包人和监理人不同意延期要求或分包人未在规定时间内提出延期开工要求，工期不予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11.1.4 分包人的人员、设备必须按照合同及经承包人、监理人和发包人确认的时间表进场，分包人不得拖延、调换或减少。若监理人认为合同规定的进场机械、材料和劳动力不能满足施工进度要求，有权指令分包人增加设备、材料和劳动力投入，分包人不得拒绝。分包人不按照合同约定的人员、设备按时进场，承包人有权要求不满足合同要求的人员、设备退场，由此造成的工期、费用损失，由分包人负责。</w:t>
      </w:r>
    </w:p>
    <w:p>
      <w:pPr>
        <w:pStyle w:val="77"/>
        <w:ind w:firstLine="480"/>
        <w:rPr>
          <w:color w:val="000000" w:themeColor="text1"/>
          <w:highlight w:val="none"/>
          <w14:textFill>
            <w14:solidFill>
              <w14:schemeClr w14:val="tx1"/>
            </w14:solidFill>
          </w14:textFill>
        </w:rPr>
      </w:pPr>
      <w:bookmarkStart w:id="709" w:name="_Toc44492586"/>
      <w:bookmarkStart w:id="710" w:name="_Toc751"/>
      <w:bookmarkStart w:id="711" w:name="_Toc28431"/>
      <w:r>
        <w:rPr>
          <w:rFonts w:hint="eastAsia"/>
          <w:color w:val="000000" w:themeColor="text1"/>
          <w:highlight w:val="none"/>
          <w14:textFill>
            <w14:solidFill>
              <w14:schemeClr w14:val="tx1"/>
            </w14:solidFill>
          </w14:textFill>
        </w:rPr>
        <w:t>11.3. 发包人的工期延误</w:t>
      </w:r>
      <w:bookmarkEnd w:id="709"/>
      <w:bookmarkEnd w:id="710"/>
      <w:bookmarkEnd w:id="71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11.3.1. 合同当事人双方约定工期顺延的其他情况：</w:t>
      </w:r>
      <w:r>
        <w:rPr>
          <w:rFonts w:hint="eastAsia"/>
          <w:color w:val="000000" w:themeColor="text1"/>
          <w:highlight w:val="none"/>
          <w:u w:val="single"/>
          <w14:textFill>
            <w14:solidFill>
              <w14:schemeClr w14:val="tx1"/>
            </w14:solidFill>
          </w14:textFill>
        </w:rPr>
        <w:t xml:space="preserve">     /    </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712" w:name="_Toc10205"/>
      <w:bookmarkStart w:id="713" w:name="_Toc16575"/>
      <w:bookmarkStart w:id="714" w:name="_Toc44492587"/>
      <w:r>
        <w:rPr>
          <w:rFonts w:hint="eastAsia"/>
          <w:color w:val="000000" w:themeColor="text1"/>
          <w:highlight w:val="none"/>
          <w14:textFill>
            <w14:solidFill>
              <w14:schemeClr w14:val="tx1"/>
            </w14:solidFill>
          </w14:textFill>
        </w:rPr>
        <w:t>11.4. 异常恶劣的气候条件</w:t>
      </w:r>
      <w:bookmarkEnd w:id="712"/>
      <w:bookmarkEnd w:id="713"/>
      <w:bookmarkEnd w:id="71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11.4.1. 异常恶劣的气候条件是指: </w:t>
      </w:r>
      <w:r>
        <w:rPr>
          <w:rFonts w:hint="eastAsia"/>
          <w:color w:val="000000" w:themeColor="text1"/>
          <w:highlight w:val="none"/>
          <w:u w:val="single"/>
          <w14:textFill>
            <w14:solidFill>
              <w14:schemeClr w14:val="tx1"/>
            </w14:solidFill>
          </w14:textFill>
        </w:rPr>
        <w:t xml:space="preserve"> /  。</w:t>
      </w:r>
    </w:p>
    <w:p>
      <w:pPr>
        <w:pStyle w:val="77"/>
        <w:ind w:firstLine="480"/>
        <w:rPr>
          <w:color w:val="000000" w:themeColor="text1"/>
          <w:highlight w:val="none"/>
          <w14:textFill>
            <w14:solidFill>
              <w14:schemeClr w14:val="tx1"/>
            </w14:solidFill>
          </w14:textFill>
        </w:rPr>
      </w:pPr>
      <w:bookmarkStart w:id="715" w:name="_Toc18931"/>
      <w:bookmarkStart w:id="716" w:name="_Toc44492588"/>
      <w:bookmarkStart w:id="717" w:name="_Toc27301"/>
      <w:r>
        <w:rPr>
          <w:rFonts w:hint="eastAsia"/>
          <w:color w:val="000000" w:themeColor="text1"/>
          <w:highlight w:val="none"/>
          <w14:textFill>
            <w14:solidFill>
              <w14:schemeClr w14:val="tx1"/>
            </w14:solidFill>
          </w14:textFill>
        </w:rPr>
        <w:t>11.5. 分包人的工期延误</w:t>
      </w:r>
      <w:bookmarkEnd w:id="715"/>
      <w:bookmarkEnd w:id="716"/>
      <w:bookmarkEnd w:id="717"/>
    </w:p>
    <w:p>
      <w:pPr>
        <w:pStyle w:val="75"/>
        <w:ind w:firstLine="422"/>
        <w:rPr>
          <w:color w:val="000000" w:themeColor="text1"/>
          <w:highlight w:val="none"/>
          <w14:textFill>
            <w14:solidFill>
              <w14:schemeClr w14:val="tx1"/>
            </w14:solidFill>
          </w14:textFill>
        </w:rPr>
      </w:pPr>
      <w:bookmarkStart w:id="718" w:name="_Toc26971"/>
      <w:r>
        <w:rPr>
          <w:rFonts w:hint="eastAsia"/>
          <w:color w:val="000000" w:themeColor="text1"/>
          <w:highlight w:val="none"/>
          <w14:textFill>
            <w14:solidFill>
              <w14:schemeClr w14:val="tx1"/>
            </w14:solidFill>
          </w14:textFill>
        </w:rPr>
        <w:t>11.5.1. 对分包人工期延误的约定</w:t>
      </w:r>
      <w:bookmarkEnd w:id="718"/>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分包人原因导致</w:t>
      </w:r>
      <w:r>
        <w:rPr>
          <w:rFonts w:hint="eastAsia"/>
          <w:color w:val="000000" w:themeColor="text1"/>
          <w:highlight w:val="none"/>
          <w:u w:val="single"/>
          <w14:textFill>
            <w14:solidFill>
              <w14:schemeClr w14:val="tx1"/>
            </w14:solidFill>
          </w14:textFill>
        </w:rPr>
        <w:t>工程不能按合同竣工日期验收合格或移交发包人的，每延误一天，分包人应按签约合同价格</w:t>
      </w:r>
      <w:r>
        <w:rPr>
          <w:rFonts w:hint="eastAsia"/>
          <w:color w:val="000000" w:themeColor="text1"/>
          <w:highlight w:val="none"/>
          <w14:textFill>
            <w14:solidFill>
              <w14:schemeClr w14:val="tx1"/>
            </w14:solidFill>
          </w14:textFill>
        </w:rPr>
        <w:t>的</w:t>
      </w:r>
      <w:r>
        <w:rPr>
          <w:rFonts w:hint="eastAsia"/>
          <w:color w:val="000000" w:themeColor="text1"/>
          <w:highlight w:val="none"/>
          <w:u w:val="single"/>
          <w14:textFill>
            <w14:solidFill>
              <w14:schemeClr w14:val="tx1"/>
            </w14:solidFill>
          </w14:textFill>
        </w:rPr>
        <w:t xml:space="preserve">万分之五向承包人支付违约金（如果工期延误引起小业主或其他人相关损失，分包人应负全部赔偿责任）。承包人可从应向分包人支付的进度款及结算款中扣除此项违约金，不足部分由分包人另行赔偿，此赔偿费的支付并不能解除分包人应完成工程的责任或本合同规定的其他责任。 </w:t>
      </w:r>
    </w:p>
    <w:p>
      <w:pPr>
        <w:adjustRightInd w:val="0"/>
        <w:snapToGrid w:val="0"/>
        <w:spacing w:line="360" w:lineRule="auto"/>
        <w:ind w:firstLine="420" w:firstLineChars="200"/>
        <w:rPr>
          <w:color w:val="000000" w:themeColor="text1"/>
          <w:highlight w:val="none"/>
          <w:u w:val="single"/>
          <w14:textFill>
            <w14:solidFill>
              <w14:schemeClr w14:val="tx1"/>
            </w14:solidFill>
          </w14:textFill>
        </w:rPr>
      </w:pPr>
      <w:r>
        <w:rPr>
          <w:rFonts w:hint="eastAsia" w:ascii="Times New Roman" w:hAnsi="Times New Roman" w:eastAsia="仿宋_GB2312"/>
          <w:color w:val="000000" w:themeColor="text1"/>
          <w:kern w:val="0"/>
          <w:szCs w:val="32"/>
          <w:highlight w:val="none"/>
          <w:u w:val="single"/>
          <w14:textFill>
            <w14:solidFill>
              <w14:schemeClr w14:val="tx1"/>
            </w14:solidFill>
          </w14:textFill>
        </w:rPr>
        <w:t>2）如因分包人责任造成实际施工进度滞后于合同规定的控制节点超过20天，经发包人书面同意，承包人有权单方面解除合同或将分包人所承包的部分工程委托给第三方单位负责施工，由此造成的一切损失均由分包人负责。经发包人书面同意，承包人将该部分工程直接委托给第三方单位负责施工且与第三方单位直接发生合同关系的，则应相应调减本合同承包范围及合同价款，同时分包人应按第三方单位实施该部分工程造价的20%向承包人支付违约金，同时承担工期等违约责任及承包人相关损失。承包人单方面解除合同的，分包人应补偿发包人及其他相关专业分包人等的所有损失。</w:t>
      </w:r>
    </w:p>
    <w:p>
      <w:pPr>
        <w:pStyle w:val="77"/>
        <w:ind w:firstLine="480"/>
        <w:rPr>
          <w:color w:val="000000" w:themeColor="text1"/>
          <w:highlight w:val="none"/>
          <w14:textFill>
            <w14:solidFill>
              <w14:schemeClr w14:val="tx1"/>
            </w14:solidFill>
          </w14:textFill>
        </w:rPr>
      </w:pPr>
      <w:bookmarkStart w:id="719" w:name="_Toc4423"/>
      <w:bookmarkStart w:id="720" w:name="_Toc44492589"/>
      <w:bookmarkStart w:id="721" w:name="_Toc31650"/>
      <w:r>
        <w:rPr>
          <w:rFonts w:hint="eastAsia"/>
          <w:color w:val="000000" w:themeColor="text1"/>
          <w:highlight w:val="none"/>
          <w14:textFill>
            <w14:solidFill>
              <w14:schemeClr w14:val="tx1"/>
            </w14:solidFill>
          </w14:textFill>
        </w:rPr>
        <w:t>11.6. 工期提前</w:t>
      </w:r>
      <w:bookmarkEnd w:id="719"/>
      <w:bookmarkEnd w:id="720"/>
      <w:bookmarkEnd w:id="72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11.6.1. </w:t>
      </w:r>
      <w:r>
        <w:rPr>
          <w:rFonts w:hint="eastAsia"/>
          <w:color w:val="000000" w:themeColor="text1"/>
          <w:highlight w:val="none"/>
          <w:u w:val="single"/>
          <w14:textFill>
            <w14:solidFill>
              <w14:schemeClr w14:val="tx1"/>
            </w14:solidFill>
          </w14:textFill>
        </w:rPr>
        <w:t>分包人按合同工期要求按时完成合同内容的不奖不罚，在此基础上如承包人要求提前完成关键节点或提前验收时，合同当事人双方可签订提前竣工补充协议，分包人按新的工期要求重新制定施工计划报承包人确认后执行。如承包</w:t>
      </w:r>
      <w:r>
        <w:rPr>
          <w:color w:val="000000" w:themeColor="text1"/>
          <w:highlight w:val="none"/>
          <w:u w:val="single"/>
          <w14:textFill>
            <w14:solidFill>
              <w14:schemeClr w14:val="tx1"/>
            </w14:solidFill>
          </w14:textFill>
        </w:rPr>
        <w:t>人未要求提前</w:t>
      </w:r>
      <w:r>
        <w:rPr>
          <w:rFonts w:hint="eastAsia"/>
          <w:color w:val="000000" w:themeColor="text1"/>
          <w:highlight w:val="none"/>
          <w:u w:val="single"/>
          <w14:textFill>
            <w14:solidFill>
              <w14:schemeClr w14:val="tx1"/>
            </w14:solidFill>
          </w14:textFill>
        </w:rPr>
        <w:t>完成关键节点或提前</w:t>
      </w:r>
      <w:r>
        <w:rPr>
          <w:color w:val="000000" w:themeColor="text1"/>
          <w:highlight w:val="none"/>
          <w:u w:val="single"/>
          <w14:textFill>
            <w14:solidFill>
              <w14:schemeClr w14:val="tx1"/>
            </w14:solidFill>
          </w14:textFill>
        </w:rPr>
        <w:t>验收，分包人的实际竣工日期比合同工期提前时，</w:t>
      </w:r>
      <w:r>
        <w:rPr>
          <w:rFonts w:hint="eastAsia"/>
          <w:color w:val="000000" w:themeColor="text1"/>
          <w:highlight w:val="none"/>
          <w:u w:val="single"/>
          <w14:textFill>
            <w14:solidFill>
              <w14:schemeClr w14:val="tx1"/>
            </w14:solidFill>
          </w14:textFill>
        </w:rPr>
        <w:t>承包人</w:t>
      </w:r>
      <w:r>
        <w:rPr>
          <w:color w:val="000000" w:themeColor="text1"/>
          <w:highlight w:val="none"/>
          <w:u w:val="single"/>
          <w14:textFill>
            <w14:solidFill>
              <w14:schemeClr w14:val="tx1"/>
            </w14:solidFill>
          </w14:textFill>
        </w:rPr>
        <w:t>无须支付赶工措施费。</w:t>
      </w:r>
      <w:r>
        <w:rPr>
          <w:rFonts w:hint="eastAsia"/>
          <w:color w:val="000000" w:themeColor="text1"/>
          <w:highlight w:val="none"/>
          <w14:textFill>
            <w14:solidFill>
              <w14:schemeClr w14:val="tx1"/>
            </w14:solidFill>
          </w14:textFill>
        </w:rPr>
        <w:t xml:space="preserve">    </w:t>
      </w:r>
    </w:p>
    <w:p>
      <w:pPr>
        <w:pStyle w:val="73"/>
        <w:rPr>
          <w:color w:val="000000" w:themeColor="text1"/>
          <w:highlight w:val="none"/>
          <w14:textFill>
            <w14:solidFill>
              <w14:schemeClr w14:val="tx1"/>
            </w14:solidFill>
          </w14:textFill>
        </w:rPr>
      </w:pPr>
      <w:bookmarkStart w:id="722" w:name="_Toc44228164"/>
      <w:bookmarkStart w:id="723" w:name="_Toc6620"/>
      <w:bookmarkStart w:id="724" w:name="_Toc44492590"/>
      <w:bookmarkStart w:id="725" w:name="_Toc8585"/>
      <w:bookmarkStart w:id="726" w:name="_Toc27745"/>
      <w:bookmarkStart w:id="727" w:name="_Toc91082445"/>
      <w:bookmarkStart w:id="728" w:name="_Toc38987281"/>
      <w:r>
        <w:rPr>
          <w:rFonts w:hint="eastAsia"/>
          <w:color w:val="000000" w:themeColor="text1"/>
          <w:highlight w:val="none"/>
          <w14:textFill>
            <w14:solidFill>
              <w14:schemeClr w14:val="tx1"/>
            </w14:solidFill>
          </w14:textFill>
        </w:rPr>
        <w:t>12.暂停施工</w:t>
      </w:r>
      <w:bookmarkEnd w:id="722"/>
      <w:bookmarkEnd w:id="723"/>
      <w:bookmarkEnd w:id="724"/>
      <w:bookmarkEnd w:id="725"/>
      <w:bookmarkEnd w:id="726"/>
      <w:bookmarkEnd w:id="727"/>
      <w:bookmarkEnd w:id="728"/>
    </w:p>
    <w:p>
      <w:pPr>
        <w:pStyle w:val="77"/>
        <w:ind w:firstLine="480"/>
        <w:rPr>
          <w:color w:val="000000" w:themeColor="text1"/>
          <w:highlight w:val="none"/>
          <w14:textFill>
            <w14:solidFill>
              <w14:schemeClr w14:val="tx1"/>
            </w14:solidFill>
          </w14:textFill>
        </w:rPr>
      </w:pPr>
      <w:bookmarkStart w:id="729" w:name="_Toc29712"/>
      <w:bookmarkStart w:id="730" w:name="_Toc18790"/>
      <w:bookmarkStart w:id="731" w:name="_Toc44492591"/>
      <w:r>
        <w:rPr>
          <w:rFonts w:hint="eastAsia"/>
          <w:color w:val="000000" w:themeColor="text1"/>
          <w:highlight w:val="none"/>
          <w14:textFill>
            <w14:solidFill>
              <w14:schemeClr w14:val="tx1"/>
            </w14:solidFill>
          </w14:textFill>
        </w:rPr>
        <w:t>12.1.分包人暂停施工的责任</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12.1.1 </w:t>
      </w:r>
    </w:p>
    <w:p>
      <w:pPr>
        <w:pStyle w:val="77"/>
        <w:ind w:firstLine="420"/>
        <w:rPr>
          <w:color w:val="000000" w:themeColor="text1"/>
          <w:highlight w:val="none"/>
          <w14:textFill>
            <w14:solidFill>
              <w14:schemeClr w14:val="tx1"/>
            </w14:solidFill>
          </w14:textFill>
        </w:rPr>
      </w:pPr>
      <w:r>
        <w:rPr>
          <w:rFonts w:hint="eastAsia" w:eastAsia="仿宋_GB2312"/>
          <w:color w:val="000000" w:themeColor="text1"/>
          <w:kern w:val="0"/>
          <w:sz w:val="21"/>
          <w:highlight w:val="none"/>
          <w:u w:val="single"/>
          <w14:textFill>
            <w14:solidFill>
              <w14:schemeClr w14:val="tx1"/>
            </w14:solidFill>
          </w14:textFill>
        </w:rPr>
        <w:t>5）因现场气候条件（不可抗力除外）导致的必要停工。</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12.2. 承包人暂停施工的责任</w:t>
      </w:r>
      <w:bookmarkEnd w:id="729"/>
      <w:bookmarkEnd w:id="730"/>
      <w:bookmarkEnd w:id="731"/>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12.2.1. </w:t>
      </w:r>
      <w:r>
        <w:rPr>
          <w:rFonts w:hint="eastAsia"/>
          <w:color w:val="000000" w:themeColor="text1"/>
          <w:highlight w:val="none"/>
          <w:u w:val="single"/>
          <w14:textFill>
            <w14:solidFill>
              <w14:schemeClr w14:val="tx1"/>
            </w14:solidFill>
          </w14:textFill>
        </w:rPr>
        <w:t>由于承包人的原因导致分包人延期开工，或因发包人原因导致承包人要求分包人暂停施工时，如全面停工3个月内（含3个月），仅顺延工期，分包人不得主张任何利润或费用补偿；如全面停工超过3个月的，除可顺延工期外，经三方（发承分包）协商，可支付分包人自第4个月起的停工增加费用。</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工期延误，是指有确凿证据证实发包人原因造成关键节点工期延误，否则均视为分包人原因造成的工期延误或未构成工期延误。</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对于发包人原因发生的工期延误，承包人应当在工期延误发生后7天内就延误的内容、工期需调整的情况及相关证明文件向发包人提出书面报告；逾期不报告的，发包人不予确认。</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因停工增加费用，分包人需按索赔流程办理，分包人应及时通过承包人向发包人报审停工期间的处置方案（包括驻守人员、机械情况，工程保管情况等），三方根据处置方案及时确认需签证确认的停窝工及机械停滞等情况，凡处置方案未经发包人审批同意或未及时按索赔流程通知及报审或未及时办理签证的，视为无效，不得计算费用。停工增加费用计算办法如下：</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①停工过程中发生的停窝工按广州市建设工程造价管理站发布的当期《广州市建设工程价格信息及有关计价办法的通知》中规定的停工的日工资计算停窝工费，规定如下：工程发生停工，其日工资价格按普工劳务日工资中值的 75%计算，并计取税金。窝工费不分工种及技术等级，均按普工计算。</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②停工过程中发生的机械停滞费按《广东省建设工程施工机具台班费用编制规则2018》规定计算，并计取税金。规定如下：机械台班停滞费=折旧费+机上人工费+其他费用。机械停滞费不分自有设备和租赁设备，均按此约定计价。当停工期间的停滞费超过原机械价值时，不得再计取停滞费。</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③一旦合同当事人三方对于停工损失费用发生争议，则分包人应提供合同要求提供的相关文件予以佐证。</w:t>
      </w:r>
    </w:p>
    <w:p>
      <w:pPr>
        <w:pStyle w:val="52"/>
        <w:ind w:firstLine="420"/>
        <w:rPr>
          <w:color w:val="000000" w:themeColor="text1"/>
          <w:highlight w:val="none"/>
          <w14:textFill>
            <w14:solidFill>
              <w14:schemeClr w14:val="tx1"/>
            </w14:solidFill>
          </w14:textFill>
        </w:rPr>
      </w:pPr>
      <w:bookmarkStart w:id="732" w:name="_Toc44492592"/>
      <w:bookmarkStart w:id="733" w:name="_Toc25740"/>
      <w:bookmarkStart w:id="734" w:name="_Toc27207"/>
      <w:r>
        <w:rPr>
          <w:rFonts w:hint="eastAsia"/>
          <w:color w:val="000000" w:themeColor="text1"/>
          <w:highlight w:val="none"/>
          <w14:textFill>
            <w14:solidFill>
              <w14:schemeClr w14:val="tx1"/>
            </w14:solidFill>
          </w14:textFill>
        </w:rPr>
        <w:t>12.3.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监理人暂停施工指示</w:t>
      </w:r>
      <w:bookmarkEnd w:id="732"/>
      <w:bookmarkEnd w:id="733"/>
      <w:bookmarkEnd w:id="73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color w:val="000000" w:themeColor="text1"/>
          <w:highlight w:val="none"/>
          <w14:textFill>
            <w14:solidFill>
              <w14:schemeClr w14:val="tx1"/>
            </w14:solidFill>
          </w14:textFill>
        </w:rPr>
        <w:t xml:space="preserve">2.3.3 </w:t>
      </w:r>
      <w:r>
        <w:rPr>
          <w:rFonts w:hint="eastAsia"/>
          <w:color w:val="000000" w:themeColor="text1"/>
          <w:highlight w:val="none"/>
          <w14:textFill>
            <w14:solidFill>
              <w14:schemeClr w14:val="tx1"/>
            </w14:solidFill>
          </w14:textFill>
        </w:rPr>
        <w:t>凡出现下列情形之一的，经发包人同意，监理人有权通过承包人通知分包人暂停施工并限期整改，由此发生的全部费用由分包人承担，工期不予顺延：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（1）分包人不遵守有关安全文明生产规定的；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（2）出现重大质量事故或安全事故的；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（3）存在安全隐患，未按安监部门、监理人或发包人的要求及时进行整改的；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（4）工程存在质量问题经发包人或监理人提出后未在规定期限内按要求完成整改的；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（5）因噪音或污染等方面问题而被有关部门罚款或勒令停工且未及时整改的；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（6）分包人使用的材料或设备有质量问题的；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（7）擅自采用未经监理人、发包人及承包人认可的材料或设备的；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（8）不执行或拖延执行承包人、发包人或监理人的指令；或有执行不力、敷衍应付、曲解指令等情况或执行情况难以达到合同目的的；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（9）未经监理人验收检验而进行下一道工序作业的；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（10）图纸未经批准而擅自施工或未按图纸施工的；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（11）擅自变更设计图纸的；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（12）分包人违反合同或法律法规规章规定的其他情形。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若分包人拒绝整改或未能在限期内妥善完成整改的，属于拒不执行监理人指令，按专用条款22.1承担违约责任。</w:t>
      </w:r>
    </w:p>
    <w:p>
      <w:pPr>
        <w:pStyle w:val="77"/>
        <w:ind w:firstLine="480"/>
        <w:rPr>
          <w:color w:val="000000" w:themeColor="text1"/>
          <w:highlight w:val="none"/>
          <w14:textFill>
            <w14:solidFill>
              <w14:schemeClr w14:val="tx1"/>
            </w14:solidFill>
          </w14:textFill>
        </w:rPr>
      </w:pPr>
      <w:bookmarkStart w:id="735" w:name="_Toc3455"/>
      <w:bookmarkStart w:id="736" w:name="_Toc13783"/>
      <w:bookmarkStart w:id="737" w:name="_Toc44492593"/>
      <w:r>
        <w:rPr>
          <w:rFonts w:hint="eastAsia"/>
          <w:color w:val="000000" w:themeColor="text1"/>
          <w:highlight w:val="none"/>
          <w14:textFill>
            <w14:solidFill>
              <w14:schemeClr w14:val="tx1"/>
            </w14:solidFill>
          </w14:textFill>
        </w:rPr>
        <w:t>12.4. 暂停施工后的复工</w:t>
      </w:r>
      <w:bookmarkEnd w:id="735"/>
      <w:bookmarkEnd w:id="736"/>
      <w:bookmarkEnd w:id="737"/>
    </w:p>
    <w:p>
      <w:pPr>
        <w:spacing w:line="360" w:lineRule="auto"/>
        <w:ind w:firstLine="525" w:firstLineChars="25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12.4.4. 由于承包人责任引起的暂停施工，监理人经发包人同意后发出暂停施工指示后56天内未向分包人发出复工通知，并且该暂停施工不在12.1.1.款范围之内，分包人可通过承包人向监理人和发包人提交书面通知，要求监理人和发包人在收到书面通知后28天内准许已暂停施工的工程或其中一部分工程继续施工。监理人和发包人在收到书面通知后28天内未予回复的，视为不予准许继续施工。如果发包人准许已暂停施工的工程或其中一部分工程恢复施工，则分包人应合理安排人员组织恢复施工。</w:t>
      </w:r>
      <w:bookmarkStart w:id="738" w:name="_Toc38987282"/>
    </w:p>
    <w:p>
      <w:pPr>
        <w:pStyle w:val="73"/>
        <w:rPr>
          <w:color w:val="000000" w:themeColor="text1"/>
          <w:highlight w:val="none"/>
          <w14:textFill>
            <w14:solidFill>
              <w14:schemeClr w14:val="tx1"/>
            </w14:solidFill>
          </w14:textFill>
        </w:rPr>
      </w:pPr>
      <w:bookmarkStart w:id="739" w:name="_Toc44228165"/>
      <w:bookmarkStart w:id="740" w:name="_Toc44492594"/>
      <w:bookmarkStart w:id="741" w:name="_Toc91082446"/>
      <w:bookmarkStart w:id="742" w:name="_Toc13570"/>
      <w:bookmarkStart w:id="743" w:name="_Toc27159"/>
      <w:bookmarkStart w:id="744" w:name="_Toc15004"/>
      <w:r>
        <w:rPr>
          <w:rFonts w:hint="eastAsia"/>
          <w:color w:val="000000" w:themeColor="text1"/>
          <w:highlight w:val="none"/>
          <w14:textFill>
            <w14:solidFill>
              <w14:schemeClr w14:val="tx1"/>
            </w14:solidFill>
          </w14:textFill>
        </w:rPr>
        <w:t>13.工程质量</w:t>
      </w:r>
      <w:bookmarkEnd w:id="738"/>
      <w:bookmarkEnd w:id="739"/>
      <w:bookmarkEnd w:id="740"/>
      <w:bookmarkEnd w:id="741"/>
      <w:bookmarkEnd w:id="742"/>
      <w:bookmarkEnd w:id="743"/>
      <w:bookmarkEnd w:id="744"/>
    </w:p>
    <w:p>
      <w:pPr>
        <w:pStyle w:val="77"/>
        <w:ind w:firstLine="480"/>
        <w:rPr>
          <w:color w:val="000000" w:themeColor="text1"/>
          <w:highlight w:val="none"/>
          <w14:textFill>
            <w14:solidFill>
              <w14:schemeClr w14:val="tx1"/>
            </w14:solidFill>
          </w14:textFill>
        </w:rPr>
      </w:pPr>
      <w:bookmarkStart w:id="745" w:name="_Toc24372"/>
      <w:bookmarkStart w:id="746" w:name="_Toc11122"/>
      <w:bookmarkStart w:id="747" w:name="_Toc44492595"/>
      <w:r>
        <w:rPr>
          <w:rFonts w:hint="eastAsia"/>
          <w:color w:val="000000" w:themeColor="text1"/>
          <w:highlight w:val="none"/>
          <w14:textFill>
            <w14:solidFill>
              <w14:schemeClr w14:val="tx1"/>
            </w14:solidFill>
          </w14:textFill>
        </w:rPr>
        <w:t>13.1. 工程质量要求</w:t>
      </w:r>
      <w:bookmarkEnd w:id="745"/>
      <w:bookmarkEnd w:id="746"/>
      <w:bookmarkEnd w:id="747"/>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13.1.1. 工程质量必须达到合同约定的质量标准，若竣工验收工程质量达不到标准要求，分包人必须按承包人、发包人和监理人指定的期限对不合格工程返工、修复或采取发包人认可的其他补救措施，使之达到合同和法定标准要求。发包方或监理人指定的期限届满，分包人返工、修复和（或）采取其他补救措施后重新验收仍未通过，即该部分工程仍不合格的，</w:t>
      </w:r>
      <w:r>
        <w:rPr>
          <w:rFonts w:hint="eastAsia"/>
          <w:color w:val="000000" w:themeColor="text1"/>
          <w:highlight w:val="none"/>
          <w:u w:val="single"/>
          <w14:textFill>
            <w14:solidFill>
              <w14:schemeClr w14:val="tx1"/>
            </w14:solidFill>
          </w14:textFill>
        </w:rPr>
        <w:t>分包人应向承包人支付该部分质量缺陷工程对应合同造价20%的违约金。承包人经发包人书面同意有权按以下其中一种方式解决：（1）有权要求分包人继续整改至满足验收要求。（2）如发包人认为分包人无法整改至满足验收要求，</w:t>
      </w:r>
      <w:r>
        <w:rPr>
          <w:rFonts w:hint="eastAsia"/>
          <w:color w:val="000000" w:themeColor="text1"/>
          <w:highlight w:val="none"/>
          <w14:textFill>
            <w14:solidFill>
              <w14:schemeClr w14:val="tx1"/>
            </w14:solidFill>
          </w14:textFill>
        </w:rPr>
        <w:t>经发包人书面同意，承包人可委托第三方返工、修复和（或）采取其他补救措施，则相关费用在分包人的工程款中扣除</w:t>
      </w:r>
      <w:r>
        <w:rPr>
          <w:rFonts w:hint="eastAsia"/>
          <w:color w:val="000000" w:themeColor="text1"/>
          <w:highlight w:val="none"/>
          <w:u w:val="single"/>
          <w14:textFill>
            <w14:solidFill>
              <w14:schemeClr w14:val="tx1"/>
            </w14:solidFill>
          </w14:textFill>
        </w:rPr>
        <w:t>。（3）如发包人认为分包人无法整改至满足验收要求，</w:t>
      </w:r>
      <w:r>
        <w:rPr>
          <w:color w:val="000000" w:themeColor="text1"/>
          <w:highlight w:val="none"/>
          <w:u w:val="single"/>
          <w14:textFill>
            <w14:solidFill>
              <w14:schemeClr w14:val="tx1"/>
            </w14:solidFill>
          </w14:textFill>
        </w:rPr>
        <w:t>经发包人书面同意</w:t>
      </w:r>
      <w:r>
        <w:rPr>
          <w:rFonts w:hint="eastAsia"/>
          <w:color w:val="000000" w:themeColor="text1"/>
          <w:highlight w:val="none"/>
          <w:u w:val="single"/>
          <w14:textFill>
            <w14:solidFill>
              <w14:schemeClr w14:val="tx1"/>
            </w14:solidFill>
          </w14:textFill>
        </w:rPr>
        <w:t>，承包人</w:t>
      </w:r>
      <w:r>
        <w:rPr>
          <w:color w:val="000000" w:themeColor="text1"/>
          <w:highlight w:val="none"/>
          <w:u w:val="single"/>
          <w14:textFill>
            <w14:solidFill>
              <w14:schemeClr w14:val="tx1"/>
            </w14:solidFill>
          </w14:textFill>
        </w:rPr>
        <w:t>有权解除本合同</w:t>
      </w:r>
      <w:r>
        <w:rPr>
          <w:rFonts w:hint="eastAsia"/>
          <w:color w:val="000000" w:themeColor="text1"/>
          <w:highlight w:val="none"/>
          <w14:textFill>
            <w14:solidFill>
              <w14:schemeClr w14:val="tx1"/>
            </w14:solidFill>
          </w14:textFill>
        </w:rPr>
        <w:t>，承包人无需向分包人支付该部分工程价款，分包还人应补偿因此对承包人所造成的损失。如上述情况（第（3）种除外）导致达到合同验收标准的时间比合同约定工期时间推迟的，分包人同时应按本合同相关约定向承包人支付延期竣工、延期交付工程逾期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13.1.3.分包人在施工过程中，因质量问题需对已完工程进行整改、返工的，产生的费用由分包人全部负责。若分包人有违反质量评定标准的质量问题，视情节轻重，每次（项）须按本合同专用条款第22条承担对应违约责任，同时亦不免除、也不减轻分包人对不合格工程进行整改、返工的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13.1.4.分包人未按发包人及承包人审定的施工方案、施工工艺进行施工的，每次（项）须按本合同专用条款第22条承担对应违约责任，同时亦不免除、也不减轻分包人对不合格施工方案、施工工艺的整改责任。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13.1.5.分包人对监理通知指出的质量问题未按时整改并回复，分包人应限期整改完成并按本合同专用条款第22条向承包人承担对应违约责任。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13.1.6.因分包人原因出现质量问题影响其他专业工程施工的，分包人应限期整改完成并向承包人承担工期违约责任且专业工程因此而提出的索赔应由分包人承担。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13.1.7.工程施工期间和工程质量保修期内，由于分包人责任出现质量问题、安全事故或者其他原因，使发包人或项目受到报纸、电视等媒体的曝光或政府有关主管部门的通报批评的，每出现一次，分包人应按本合同专用条款第22条向承包人承担对应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13.1.8.分包人未经报验，擅自进行下道工序施工的，分包人应拆除擅自施工的部位，并按本合同专用条款第22条向承包人承担对应违约责任。</w:t>
      </w:r>
    </w:p>
    <w:p>
      <w:pPr>
        <w:pStyle w:val="52"/>
        <w:ind w:firstLine="420"/>
        <w:rPr>
          <w:bCs/>
          <w:color w:val="000000" w:themeColor="text1"/>
          <w:highlight w:val="none"/>
          <w14:textFill>
            <w14:solidFill>
              <w14:schemeClr w14:val="tx1"/>
            </w14:solidFill>
          </w14:textFill>
        </w:rPr>
      </w:pPr>
      <w:r>
        <w:rPr>
          <w:bCs/>
          <w:color w:val="000000" w:themeColor="text1"/>
          <w:highlight w:val="none"/>
          <w14:textFill>
            <w14:solidFill>
              <w14:schemeClr w14:val="tx1"/>
            </w14:solidFill>
          </w14:textFill>
        </w:rPr>
        <w:t xml:space="preserve">13.1.9. </w:t>
      </w:r>
      <w:bookmarkStart w:id="748" w:name="_Toc44228166"/>
      <w:bookmarkStart w:id="749" w:name="_Toc38987283"/>
      <w:bookmarkStart w:id="750" w:name="_Toc813"/>
      <w:bookmarkStart w:id="751" w:name="_Toc18906"/>
      <w:bookmarkStart w:id="752" w:name="_Toc44492596"/>
      <w:r>
        <w:rPr>
          <w:rFonts w:hint="eastAsia"/>
          <w:bCs/>
          <w:color w:val="000000" w:themeColor="text1"/>
          <w:highlight w:val="none"/>
          <w14:textFill>
            <w14:solidFill>
              <w14:schemeClr w14:val="tx1"/>
            </w14:solidFill>
          </w14:textFill>
        </w:rPr>
        <w:t>在发包人上级单位粤海置地集团组织的第三方工程评估中，该项目外电工程实测实量、质量风险组成的机电质量综合成绩参与粤海置地集团质量风险综合成绩排名，质量风险综合成绩排名第一且机电质量综合成绩不低于89分的获得人民币20000元奖励，排名倒数第一的处于人民币20000元罚款。</w:t>
      </w:r>
    </w:p>
    <w:p>
      <w:pPr>
        <w:pStyle w:val="73"/>
        <w:rPr>
          <w:color w:val="000000" w:themeColor="text1"/>
          <w:highlight w:val="none"/>
          <w14:textFill>
            <w14:solidFill>
              <w14:schemeClr w14:val="tx1"/>
            </w14:solidFill>
          </w14:textFill>
        </w:rPr>
      </w:pPr>
      <w:bookmarkStart w:id="753" w:name="_Toc91082447"/>
      <w:r>
        <w:rPr>
          <w:rFonts w:hint="eastAsia"/>
          <w:color w:val="000000" w:themeColor="text1"/>
          <w:highlight w:val="none"/>
          <w14:textFill>
            <w14:solidFill>
              <w14:schemeClr w14:val="tx1"/>
            </w14:solidFill>
          </w14:textFill>
        </w:rPr>
        <w:t>14.试验和检验</w:t>
      </w:r>
      <w:bookmarkEnd w:id="748"/>
      <w:bookmarkEnd w:id="749"/>
      <w:bookmarkEnd w:id="750"/>
      <w:bookmarkEnd w:id="751"/>
      <w:bookmarkEnd w:id="752"/>
      <w:bookmarkEnd w:id="753"/>
    </w:p>
    <w:p>
      <w:pPr>
        <w:pStyle w:val="52"/>
        <w:ind w:firstLine="420"/>
        <w:rPr>
          <w:b/>
          <w:bCs/>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14.1.4承包人抽检：除根据政策要求的第三方检测和监理相关检测外，根据工程实际情况，发包人对有疑问、高价值、对效果有重大影响、易产生不合格品的材料设备有权实施抽检，承包人抽检清单内的抽检不得提出工期索赔。检验的结果证明该项材料、设备不符合合同要求的，因此增加的费用和（或）工期延误由分包人承担，如果因此给承包人造成损失，分包人应当向承包人全额赔偿；检验结果证明该项材料、设备符合合同要求的，由承包人承担本次抽检的检验费用，工期不予顺延。</w:t>
      </w:r>
    </w:p>
    <w:p>
      <w:pPr>
        <w:pStyle w:val="73"/>
        <w:rPr>
          <w:color w:val="000000" w:themeColor="text1"/>
          <w:highlight w:val="none"/>
          <w14:textFill>
            <w14:solidFill>
              <w14:schemeClr w14:val="tx1"/>
            </w14:solidFill>
          </w14:textFill>
        </w:rPr>
      </w:pPr>
      <w:bookmarkStart w:id="754" w:name="_Toc17971"/>
      <w:bookmarkStart w:id="755" w:name="_Toc44228167"/>
      <w:bookmarkStart w:id="756" w:name="_Toc38987284"/>
      <w:bookmarkStart w:id="757" w:name="_Toc7025"/>
      <w:bookmarkStart w:id="758" w:name="_Toc11237"/>
      <w:bookmarkStart w:id="759" w:name="_Toc91082448"/>
      <w:bookmarkStart w:id="760" w:name="_Toc44492597"/>
      <w:r>
        <w:rPr>
          <w:rFonts w:hint="eastAsia"/>
          <w:color w:val="000000" w:themeColor="text1"/>
          <w:highlight w:val="none"/>
          <w14:textFill>
            <w14:solidFill>
              <w14:schemeClr w14:val="tx1"/>
            </w14:solidFill>
          </w14:textFill>
        </w:rPr>
        <w:t>15.变更</w:t>
      </w:r>
      <w:bookmarkEnd w:id="754"/>
      <w:bookmarkEnd w:id="755"/>
      <w:bookmarkEnd w:id="756"/>
      <w:bookmarkEnd w:id="757"/>
      <w:bookmarkEnd w:id="758"/>
      <w:bookmarkEnd w:id="759"/>
      <w:bookmarkEnd w:id="760"/>
    </w:p>
    <w:p>
      <w:pPr>
        <w:pStyle w:val="73"/>
        <w:outlineLvl w:val="9"/>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ab/>
      </w:r>
      <w:bookmarkStart w:id="761" w:name="_Toc27548"/>
      <w:bookmarkStart w:id="762" w:name="_Toc939"/>
      <w:bookmarkStart w:id="763" w:name="_Toc18109"/>
      <w:bookmarkStart w:id="764" w:name="_Toc91082449"/>
      <w:bookmarkStart w:id="765" w:name="_Toc15158"/>
      <w:r>
        <w:rPr>
          <w:color w:val="000000" w:themeColor="text1"/>
          <w:sz w:val="24"/>
          <w:highlight w:val="none"/>
          <w14:textFill>
            <w14:solidFill>
              <w14:schemeClr w14:val="tx1"/>
            </w14:solidFill>
          </w14:textFill>
        </w:rPr>
        <w:t>15.1变更程序</w:t>
      </w:r>
      <w:bookmarkEnd w:id="761"/>
      <w:bookmarkEnd w:id="762"/>
      <w:bookmarkEnd w:id="763"/>
      <w:bookmarkEnd w:id="764"/>
      <w:bookmarkEnd w:id="765"/>
    </w:p>
    <w:p>
      <w:pPr>
        <w:pStyle w:val="52"/>
        <w:ind w:firstLine="420"/>
        <w:rPr>
          <w:color w:val="000000" w:themeColor="text1"/>
          <w:highlight w:val="none"/>
          <w:u w:val="single"/>
          <w14:textFill>
            <w14:solidFill>
              <w14:schemeClr w14:val="tx1"/>
            </w14:solidFill>
          </w14:textFill>
        </w:rPr>
      </w:pPr>
      <w:bookmarkStart w:id="766" w:name="_Toc44492598"/>
      <w:bookmarkStart w:id="767" w:name="_Toc32378"/>
      <w:bookmarkStart w:id="768" w:name="_Toc18456"/>
      <w:r>
        <w:rPr>
          <w:color w:val="000000" w:themeColor="text1"/>
          <w:highlight w:val="none"/>
          <w14:textFill>
            <w14:solidFill>
              <w14:schemeClr w14:val="tx1"/>
            </w14:solidFill>
          </w14:textFill>
        </w:rPr>
        <w:t>15.1.</w:t>
      </w:r>
      <w:r>
        <w:rPr>
          <w:rFonts w:hint="eastAsia"/>
          <w:color w:val="000000" w:themeColor="text1"/>
          <w:highlight w:val="none"/>
          <w14:textFill>
            <w14:solidFill>
              <w14:schemeClr w14:val="tx1"/>
            </w14:solidFill>
          </w14:textFill>
        </w:rPr>
        <w:t>1通用条款15.1.1.修订为</w:t>
      </w:r>
      <w:r>
        <w:rPr>
          <w:rFonts w:hint="eastAsia"/>
          <w:color w:val="000000" w:themeColor="text1"/>
          <w:highlight w:val="none"/>
          <w:u w:val="single"/>
          <w14:textFill>
            <w14:solidFill>
              <w14:schemeClr w14:val="tx1"/>
            </w14:solidFill>
          </w14:textFill>
        </w:rPr>
        <w:t>：</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1) 发包人通过承包人向分包人下发变更指令。分包人接到发包人的变更通知且经承包人书面确认后，有义务在3天内（变更较大时可征得发包人和承包人同意后适当延长）向承包人提交书面建议报告。若发包人要求分包人立刻实施变更的，经承包人书面确认，分包人应无条件执行。</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2)分包人通过承包人向发包人提交的书面建议报告中应包括但不限于：支持此项变更的理由、实施此项变更的工作内容、设备、材料、人力、机具、周转材料、消耗材料等资源消耗，以及相关管理费用和合理利润的估算。此项变更引起竣工日期延长时，应在报告中说明理由，并提交与此变更相关的进度计划。分包人未提交增加费用的估算及完工日期或竣工日期延长，视为该项变更不涉及合同价格调整或完全接受发包人主张的变更价款和不涉及完工日期或竣工日期延长。</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3) 如分包人不接受发包人变更通知中的变更时，建议报告中应包括不支持此项变更的理由，理由包括但不限于：</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（1）此变更不符合法律、法规等有关规定；</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（2）分包人难以取得变更所需的特殊设备、材料、部件；</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（3）分包人难以取得变更所需的工艺、技术；</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（4）变更将降低工程的安全性、稳定性、适用性；</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（5）对生产性能保证值、使用功能保证的实现产生不利影响等。</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4)发包人应在接到书面建议报告后10天内对此项报告给予审查，并发出批准、撤销、改变、提出进一步要求的书面通知。分包人在等待发包人回复的时间内，不能停止或延误任何工作。发包人对书面建议报告中的理由、估算、和（或）完工或竣工日期延长经发包人批准后，应以书面形式下达变更指令。</w:t>
      </w:r>
    </w:p>
    <w:p>
      <w:pPr>
        <w:pStyle w:val="52"/>
        <w:ind w:firstLine="420"/>
        <w:rPr>
          <w:color w:val="000000" w:themeColor="text1"/>
          <w:highlight w:val="none"/>
          <w14:textFill>
            <w14:solidFill>
              <w14:schemeClr w14:val="tx1"/>
            </w14:solidFill>
          </w14:textFill>
        </w:rPr>
      </w:pPr>
      <w:r>
        <w:rPr>
          <w:rFonts w:hint="eastAsia" w:ascii="仿宋_GB2312" w:hAnsi="仿宋"/>
          <w:color w:val="000000" w:themeColor="text1"/>
          <w:szCs w:val="21"/>
          <w:highlight w:val="none"/>
          <w14:textFill>
            <w14:solidFill>
              <w14:schemeClr w14:val="tx1"/>
            </w14:solidFill>
          </w14:textFill>
        </w:rPr>
        <w:t>5) 发包人对书面建议报告进行审查后，经承包人向分包人发出继续执行、改变、提出进一步补充资料的书面指示，分包人应无条件予以执行。如</w:t>
      </w:r>
      <w:r>
        <w:rPr>
          <w:rFonts w:hint="eastAsia"/>
          <w:color w:val="000000" w:themeColor="text1"/>
          <w:highlight w:val="none"/>
          <w14:textFill>
            <w14:solidFill>
              <w14:schemeClr w14:val="tx1"/>
            </w14:solidFill>
          </w14:textFill>
        </w:rPr>
        <w:t>分包人接到发包人的指示后三（3）天内，分包人仍未开始执行有关的工作（按工程实际情况不可能立即执行的除外），发包人可通过承包人雇用第三人代为执行，</w:t>
      </w:r>
      <w:r>
        <w:rPr>
          <w:rFonts w:hint="eastAsia"/>
          <w:color w:val="000000" w:themeColor="text1"/>
          <w:highlight w:val="none"/>
          <w:u w:val="single"/>
          <w14:textFill>
            <w14:solidFill>
              <w14:schemeClr w14:val="tx1"/>
            </w14:solidFill>
          </w14:textFill>
        </w:rPr>
        <w:t>分包人应承担该部分工程双倍费用的违约金。</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6)分包人在收到发包人或监理人的</w:t>
      </w:r>
      <w:r>
        <w:rPr>
          <w:rFonts w:ascii="仿宋_GB2312" w:hAnsi="仿宋" w:eastAsia="仿宋_GB2312"/>
          <w:color w:val="000000" w:themeColor="text1"/>
          <w:szCs w:val="21"/>
          <w:highlight w:val="none"/>
          <w14:textFill>
            <w14:solidFill>
              <w14:schemeClr w14:val="tx1"/>
            </w14:solidFill>
          </w14:textFill>
        </w:rPr>
        <w:t>变更指示后20天</w:t>
      </w:r>
      <w:r>
        <w:rPr>
          <w:rFonts w:hint="eastAsia" w:ascii="仿宋_GB2312" w:hAnsi="仿宋" w:eastAsia="仿宋_GB2312"/>
          <w:color w:val="000000" w:themeColor="text1"/>
          <w:szCs w:val="21"/>
          <w:highlight w:val="none"/>
          <w14:textFill>
            <w14:solidFill>
              <w14:schemeClr w14:val="tx1"/>
            </w14:solidFill>
          </w14:textFill>
        </w:rPr>
        <w:t>内通过承包人向发包人提出变更工程价款的书面报告（格式应满足发包人管理要求），经发包人和监理人书面审核批准，才能作为变更工程完工后进度款支付的依据。当发包人、承包人及分包人对变更核价有争议时，分包人应无条件按变更指令实施变更，监理人有义务协助尽快落实争议问题。</w:t>
      </w:r>
      <w:r>
        <w:rPr>
          <w:rFonts w:eastAsia="仿宋_GB2312"/>
          <w:b/>
          <w:bCs/>
          <w:color w:val="000000" w:themeColor="text1"/>
          <w:kern w:val="0"/>
          <w:szCs w:val="32"/>
          <w:highlight w:val="none"/>
          <w14:textFill>
            <w14:solidFill>
              <w14:schemeClr w14:val="tx1"/>
            </w14:solidFill>
          </w14:textFill>
        </w:rPr>
        <w:t>分包人不得以核价等任何理由停工或拖延施工</w:t>
      </w:r>
      <w:r>
        <w:rPr>
          <w:rFonts w:hint="eastAsia"/>
          <w:b/>
          <w:bCs/>
          <w:color w:val="000000" w:themeColor="text1"/>
          <w:kern w:val="0"/>
          <w:szCs w:val="32"/>
          <w:highlight w:val="none"/>
          <w14:textFill>
            <w14:solidFill>
              <w14:schemeClr w14:val="tx1"/>
            </w14:solidFill>
          </w14:textFill>
        </w:rPr>
        <w:t>。</w:t>
      </w:r>
      <w:r>
        <w:rPr>
          <w:rFonts w:hint="eastAsia" w:ascii="仿宋_GB2312" w:hAnsi="仿宋" w:eastAsia="仿宋_GB2312"/>
          <w:color w:val="000000" w:themeColor="text1"/>
          <w:szCs w:val="21"/>
          <w:highlight w:val="none"/>
          <w14:textFill>
            <w14:solidFill>
              <w14:schemeClr w14:val="tx1"/>
            </w14:solidFill>
          </w14:textFill>
        </w:rPr>
        <w:t>若分包人以核价争议等理由停工或拖延施工的，由此导致的工期延误，由分包人自行承担，且分包人应按停工或拖延施工天数承担10000元/天的违约金</w:t>
      </w:r>
      <w:r>
        <w:rPr>
          <w:rFonts w:eastAsia="仿宋_GB2312"/>
          <w:color w:val="000000" w:themeColor="text1"/>
          <w:kern w:val="0"/>
          <w:szCs w:val="32"/>
          <w:highlight w:val="none"/>
          <w14:textFill>
            <w14:solidFill>
              <w14:schemeClr w14:val="tx1"/>
            </w14:solidFill>
          </w14:textFill>
        </w:rPr>
        <w:t>。</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7)变更实施完成后，分包人原则上应在28天内通过承包人向发包人申报变更完成确认。经承包人、监理人与发包人书面确认的变更完成，且变更核价审批确认后，变更价款可并入最近一期工程进度款按进度款支付比例支付或扣除。当分包人、承包人、发包人对该阶段的变更核价仍有争议时，仅支付无争议部分的变更价款，争议部分待竣工结算时一并解决落实。</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15.1.4. 通用条款第15.1.4条修订为：如分包人未经承包人、发包人和监理单位同意而擅自超出合同文件的要求进行施工，或者擅自变更承包范围内施工内容的，则无论本工程是否通过了竣工验收，均不视为变更且发包人不支付该等擅自施工所发生的费用，由此增加的费用和延误的工期均由分包人承担。</w:t>
      </w:r>
    </w:p>
    <w:p>
      <w:pPr>
        <w:pStyle w:val="52"/>
        <w:ind w:firstLine="420"/>
        <w:rPr>
          <w:rFonts w:hAnsi="宋体"/>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15.1</w:t>
      </w:r>
      <w:r>
        <w:rPr>
          <w:rFonts w:hAnsi="宋体"/>
          <w:color w:val="000000" w:themeColor="text1"/>
          <w:highlight w:val="none"/>
          <w14:textFill>
            <w14:solidFill>
              <w14:schemeClr w14:val="tx1"/>
            </w14:solidFill>
          </w14:textFill>
        </w:rPr>
        <w:t>.7.</w:t>
      </w:r>
      <w:r>
        <w:rPr>
          <w:rFonts w:hint="eastAsia" w:hAnsi="宋体"/>
          <w:color w:val="000000" w:themeColor="text1"/>
          <w:highlight w:val="none"/>
          <w14:textFill>
            <w14:solidFill>
              <w14:schemeClr w14:val="tx1"/>
            </w14:solidFill>
          </w14:textFill>
        </w:rPr>
        <w:t>设计人提出的设计变更，必须经发包人书面批准及承包人书面确认后向分包人下发，分包人才能变更指令进行施工，如设计变更未经发包人批准或承包人书面确认的，分包人安排施工，所需费用由分包人承担；如设计变更未经发包人批准或承包人书面确认的，分包人安排施工，且设计变更不合理，发包人有权要求承包人提出拆除及恢复，分包人承担由此造成的费用，其施工费用、恢复费用、延误工期及由此造成的损失由分包人承担，同时分包人每次须按</w:t>
      </w:r>
      <w:r>
        <w:rPr>
          <w:rFonts w:hAnsi="宋体"/>
          <w:color w:val="000000" w:themeColor="text1"/>
          <w:highlight w:val="none"/>
          <w:u w:val="single"/>
          <w14:textFill>
            <w14:solidFill>
              <w14:schemeClr w14:val="tx1"/>
            </w14:solidFill>
          </w14:textFill>
        </w:rPr>
        <w:t>2000</w:t>
      </w:r>
      <w:r>
        <w:rPr>
          <w:rFonts w:hint="eastAsia" w:hAnsi="宋体"/>
          <w:color w:val="000000" w:themeColor="text1"/>
          <w:highlight w:val="none"/>
          <w14:textFill>
            <w14:solidFill>
              <w14:schemeClr w14:val="tx1"/>
            </w14:solidFill>
          </w14:textFill>
        </w:rPr>
        <w:t>元/次向承包人承担违约责任。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15.1.8.发包人有权对材料设备的品牌、规格、型号进行变更。</w:t>
      </w:r>
    </w:p>
    <w:p>
      <w:pPr>
        <w:pStyle w:val="52"/>
        <w:ind w:firstLine="420"/>
        <w:rPr>
          <w:b/>
          <w:color w:val="000000" w:themeColor="text1"/>
          <w:highlight w:val="none"/>
          <w14:textFill>
            <w14:solidFill>
              <w14:schemeClr w14:val="tx1"/>
            </w14:solidFill>
          </w14:textFill>
        </w:rPr>
      </w:pPr>
      <w:r>
        <w:rPr>
          <w:bCs/>
          <w:color w:val="000000" w:themeColor="text1"/>
          <w:highlight w:val="none"/>
          <w14:textFill>
            <w14:solidFill>
              <w14:schemeClr w14:val="tx1"/>
            </w14:solidFill>
          </w14:textFill>
        </w:rPr>
        <w:t>15.1.9</w:t>
      </w:r>
      <w:r>
        <w:rPr>
          <w:rFonts w:hint="eastAsia"/>
          <w:bCs/>
          <w:color w:val="000000" w:themeColor="text1"/>
          <w:highlight w:val="none"/>
          <w14:textFill>
            <w14:solidFill>
              <w14:schemeClr w14:val="tx1"/>
            </w14:solidFill>
          </w14:textFill>
        </w:rPr>
        <w:t>变更程序其他约定（现场签证的变更程序按专用条款15.2.</w:t>
      </w:r>
      <w:r>
        <w:rPr>
          <w:bCs/>
          <w:color w:val="000000" w:themeColor="text1"/>
          <w:highlight w:val="none"/>
          <w14:textFill>
            <w14:solidFill>
              <w14:schemeClr w14:val="tx1"/>
            </w14:solidFill>
          </w14:textFill>
        </w:rPr>
        <w:t>2</w:t>
      </w:r>
      <w:r>
        <w:rPr>
          <w:rFonts w:hint="eastAsia"/>
          <w:bCs/>
          <w:color w:val="000000" w:themeColor="text1"/>
          <w:highlight w:val="none"/>
          <w14:textFill>
            <w14:solidFill>
              <w14:schemeClr w14:val="tx1"/>
            </w14:solidFill>
          </w14:textFill>
        </w:rPr>
        <w:t>约定执行）：</w:t>
      </w:r>
    </w:p>
    <w:p>
      <w:pPr>
        <w:adjustRightInd w:val="0"/>
        <w:snapToGrid w:val="0"/>
        <w:spacing w:line="360" w:lineRule="auto"/>
        <w:ind w:firstLine="420" w:firstLineChars="200"/>
        <w:jc w:val="left"/>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1)如果分包人因施工现场情况、施工方法等原因，为便于组织施工或为了施工安全、避免干扰等原因需采取相应的技术措施而提出的施工组织措施等相关调整，除须得到承包人、发包人和监理人的书面批准外，因此增加的费用由分包人自行承担。若该项调整导致本工程合同价款减少的，则承包人有权从应支付的工程进度款或工程结算款中扣除。</w:t>
      </w:r>
    </w:p>
    <w:p>
      <w:pPr>
        <w:spacing w:line="360" w:lineRule="auto"/>
        <w:ind w:firstLine="420" w:firstLineChars="200"/>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2）如果发包人发出的变更指令是由于分包人的深化设计、采购、施工、调试等过错或分包人违反合同等造成的，工期不予顺延，导致工程款减少的，则承包人有权从应支付的工程进度款或工程结算款中扣除，因此引起的任何额外费用除由分包人自行承担外，还应赔偿因此造成发包人或承包人的实际经济损失，同时分包人应承担对应的违约责任。</w:t>
      </w:r>
    </w:p>
    <w:p>
      <w:pPr>
        <w:spacing w:line="360" w:lineRule="auto"/>
        <w:ind w:firstLine="420" w:firstLineChars="200"/>
        <w:rPr>
          <w:rFonts w:ascii="仿宋_GB2312" w:hAnsi="仿宋" w:eastAsia="仿宋_GB2312"/>
          <w:color w:val="000000" w:themeColor="text1"/>
          <w:szCs w:val="21"/>
          <w:highlight w:val="none"/>
          <w14:textFill>
            <w14:solidFill>
              <w14:schemeClr w14:val="tx1"/>
            </w14:solidFill>
          </w14:textFill>
        </w:rPr>
      </w:pPr>
      <w:r>
        <w:rPr>
          <w:rFonts w:hint="eastAsia" w:ascii="仿宋_GB2312" w:hAnsi="仿宋" w:eastAsia="仿宋_GB2312"/>
          <w:color w:val="000000" w:themeColor="text1"/>
          <w:szCs w:val="21"/>
          <w:highlight w:val="none"/>
          <w14:textFill>
            <w14:solidFill>
              <w14:schemeClr w14:val="tx1"/>
            </w14:solidFill>
          </w14:textFill>
        </w:rPr>
        <w:t>15.1.10 如分包人有更优的外电供电方案，须经报发包人同意后方可报相关政府部门审批。分包人负责供电方案的沿线物探、设计深化及报供电局、报规、报建、报验、送电申报及为完成本工程的所有沟通协调工作，同时须保证合同约定的送电时间和满足云港城项目4#地块所有所需的管廊的使用要求，因此发生的费用视为已包含在签约合同价格的红线外工程价格的措施项目费中。如分包人的外电供电方案的红线外工程造价高于签约合同价中红线外工程价格的，则结算时，按签约合同价格的红线外工程价格计结；如分包人的外电供电方案的红线外工程造价低于签约合同价中红线外工程价格，则结算时，依据合同专用条款第15.2款重新确定分部分项工程综合单价，对于相同适用或类似适用的项目，优先执行红线外工程有利于发包人的项目清单价格，签约合同价中红线外工程的措施项目（以费率计算的绿色施工安全防护措施费及模板工程费除外）固定总价包干，以费率计算的绿色施工安全防护措施费和其他项目费以综合费率包干，绿色施工安全防护措施费如按合同计算的费率超出定额规定的费率时，进度支付和结算按定额规定的费率计算，如按合同计算的费率低于定额规定的费率时，则按合同计算的费率计算，模板工程费用包含在分部分项工程的相关清单项目中。</w:t>
      </w:r>
    </w:p>
    <w:p>
      <w:pPr>
        <w:pStyle w:val="73"/>
        <w:ind w:firstLine="480"/>
        <w:outlineLvl w:val="9"/>
        <w:rPr>
          <w:color w:val="000000" w:themeColor="text1"/>
          <w:highlight w:val="none"/>
          <w14:textFill>
            <w14:solidFill>
              <w14:schemeClr w14:val="tx1"/>
            </w14:solidFill>
          </w14:textFill>
        </w:rPr>
      </w:pPr>
      <w:r>
        <w:rPr>
          <w:color w:val="000000" w:themeColor="text1"/>
          <w:sz w:val="24"/>
          <w:highlight w:val="none"/>
          <w14:textFill>
            <w14:solidFill>
              <w14:schemeClr w14:val="tx1"/>
            </w14:solidFill>
          </w14:textFill>
        </w:rPr>
        <w:t xml:space="preserve">15.2. </w:t>
      </w:r>
      <w:r>
        <w:rPr>
          <w:rFonts w:hint="eastAsia"/>
          <w:color w:val="000000" w:themeColor="text1"/>
          <w:sz w:val="24"/>
          <w:highlight w:val="none"/>
          <w14:textFill>
            <w14:solidFill>
              <w14:schemeClr w14:val="tx1"/>
            </w14:solidFill>
          </w14:textFill>
        </w:rPr>
        <w:t>变更价款的确定</w:t>
      </w:r>
      <w:bookmarkEnd w:id="766"/>
      <w:bookmarkEnd w:id="767"/>
      <w:bookmarkEnd w:id="768"/>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15.2.1</w:t>
      </w:r>
      <w:r>
        <w:rPr>
          <w:rFonts w:hint="eastAsia"/>
          <w:color w:val="000000" w:themeColor="text1"/>
          <w:highlight w:val="none"/>
          <w14:textFill>
            <w14:solidFill>
              <w14:schemeClr w14:val="tx1"/>
            </w14:solidFill>
          </w14:textFill>
        </w:rPr>
        <w:t>变更、签证工程和新增工程价款确认原则如下：</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w:t>
      </w:r>
      <w:r>
        <w:rPr>
          <w:rFonts w:eastAsia="仿宋_GB2312"/>
          <w:color w:val="000000" w:themeColor="text1"/>
          <w:kern w:val="0"/>
          <w:szCs w:val="32"/>
          <w:highlight w:val="none"/>
          <w14:textFill>
            <w14:solidFill>
              <w14:schemeClr w14:val="tx1"/>
            </w14:solidFill>
          </w14:textFill>
        </w:rPr>
        <w:t>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工程量清单中有相同适用项目的，则采用该项目综合单价；合同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工程量清单中相同适用项目有多个的，</w:t>
      </w:r>
      <w:r>
        <w:rPr>
          <w:rFonts w:hint="eastAsia" w:eastAsia="仿宋_GB2312"/>
          <w:color w:val="000000" w:themeColor="text1"/>
          <w:kern w:val="0"/>
          <w:szCs w:val="32"/>
          <w:highlight w:val="none"/>
          <w14:textFill>
            <w14:solidFill>
              <w14:schemeClr w14:val="tx1"/>
            </w14:solidFill>
          </w14:textFill>
        </w:rPr>
        <w:t>则由发包人选择</w:t>
      </w:r>
      <w:r>
        <w:rPr>
          <w:rFonts w:eastAsia="仿宋_GB2312"/>
          <w:color w:val="000000" w:themeColor="text1"/>
          <w:kern w:val="0"/>
          <w:szCs w:val="32"/>
          <w:highlight w:val="none"/>
          <w14:textFill>
            <w14:solidFill>
              <w14:schemeClr w14:val="tx1"/>
            </w14:solidFill>
          </w14:textFill>
        </w:rPr>
        <w:t>有利于发包人的相同适用项目综合单价（但发包人认为综合单价</w:t>
      </w:r>
      <w:r>
        <w:rPr>
          <w:rFonts w:hint="eastAsia" w:eastAsia="仿宋_GB2312"/>
          <w:color w:val="000000" w:themeColor="text1"/>
          <w:kern w:val="0"/>
          <w:szCs w:val="32"/>
          <w:highlight w:val="none"/>
          <w14:textFill>
            <w14:solidFill>
              <w14:schemeClr w14:val="tx1"/>
            </w14:solidFill>
          </w14:textFill>
        </w:rPr>
        <w:t>均</w:t>
      </w:r>
      <w:r>
        <w:rPr>
          <w:rFonts w:eastAsia="仿宋_GB2312"/>
          <w:color w:val="000000" w:themeColor="text1"/>
          <w:kern w:val="0"/>
          <w:szCs w:val="32"/>
          <w:highlight w:val="none"/>
          <w14:textFill>
            <w14:solidFill>
              <w14:schemeClr w14:val="tx1"/>
            </w14:solidFill>
          </w14:textFill>
        </w:rPr>
        <w:t>明显不合理</w:t>
      </w:r>
      <w:r>
        <w:rPr>
          <w:rFonts w:hint="eastAsia" w:eastAsia="仿宋_GB2312"/>
          <w:color w:val="000000" w:themeColor="text1"/>
          <w:kern w:val="0"/>
          <w:szCs w:val="32"/>
          <w:highlight w:val="none"/>
          <w14:textFill>
            <w14:solidFill>
              <w14:schemeClr w14:val="tx1"/>
            </w14:solidFill>
          </w14:textFill>
        </w:rPr>
        <w:t>，明显偏离市场价格且对发包人不利时，按本项第（4）目约定执行</w:t>
      </w:r>
      <w:r>
        <w:rPr>
          <w:rFonts w:eastAsia="仿宋_GB2312"/>
          <w:color w:val="000000" w:themeColor="text1"/>
          <w:kern w:val="0"/>
          <w:szCs w:val="32"/>
          <w:highlight w:val="none"/>
          <w14:textFill>
            <w14:solidFill>
              <w14:schemeClr w14:val="tx1"/>
            </w14:solidFill>
          </w14:textFill>
        </w:rPr>
        <w:t>），不论工程量怎样增加或减少，综合单价都不予调整</w:t>
      </w:r>
      <w:r>
        <w:rPr>
          <w:rFonts w:hint="eastAsia" w:eastAsia="仿宋_GB2312"/>
          <w:color w:val="000000" w:themeColor="text1"/>
          <w:kern w:val="0"/>
          <w:szCs w:val="32"/>
          <w:highlight w:val="none"/>
          <w14:textFill>
            <w14:solidFill>
              <w14:schemeClr w14:val="tx1"/>
            </w14:solidFill>
          </w14:textFill>
        </w:rPr>
        <w:t>，本合同另有约定的除外</w:t>
      </w:r>
      <w:r>
        <w:rPr>
          <w:rFonts w:eastAsia="仿宋_GB2312"/>
          <w:color w:val="000000" w:themeColor="text1"/>
          <w:kern w:val="0"/>
          <w:szCs w:val="32"/>
          <w:highlight w:val="none"/>
          <w14:textFill>
            <w14:solidFill>
              <w14:schemeClr w14:val="tx1"/>
            </w14:solidFill>
          </w14:textFill>
        </w:rPr>
        <w:t>。</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w:t>
      </w:r>
      <w:r>
        <w:rPr>
          <w:rFonts w:eastAsia="仿宋_GB2312"/>
          <w:color w:val="000000" w:themeColor="text1"/>
          <w:kern w:val="0"/>
          <w:szCs w:val="32"/>
          <w:highlight w:val="none"/>
          <w14:textFill>
            <w14:solidFill>
              <w14:schemeClr w14:val="tx1"/>
            </w14:solidFill>
          </w14:textFill>
        </w:rPr>
        <w:t>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工程量清单中无相同适用项目、只有类似适用项目的，则</w:t>
      </w:r>
      <w:r>
        <w:rPr>
          <w:rFonts w:hint="eastAsia" w:eastAsia="仿宋_GB2312"/>
          <w:color w:val="000000" w:themeColor="text1"/>
          <w:kern w:val="0"/>
          <w:szCs w:val="32"/>
          <w:highlight w:val="none"/>
          <w14:textFill>
            <w14:solidFill>
              <w14:schemeClr w14:val="tx1"/>
            </w14:solidFill>
          </w14:textFill>
        </w:rPr>
        <w:t>对</w:t>
      </w:r>
      <w:r>
        <w:rPr>
          <w:rFonts w:eastAsia="仿宋_GB2312"/>
          <w:color w:val="000000" w:themeColor="text1"/>
          <w:kern w:val="0"/>
          <w:szCs w:val="32"/>
          <w:highlight w:val="none"/>
          <w14:textFill>
            <w14:solidFill>
              <w14:schemeClr w14:val="tx1"/>
            </w14:solidFill>
          </w14:textFill>
        </w:rPr>
        <w:t>类似项目的综合单价</w:t>
      </w:r>
      <w:r>
        <w:rPr>
          <w:rFonts w:hint="eastAsia" w:eastAsia="仿宋_GB2312"/>
          <w:color w:val="000000" w:themeColor="text1"/>
          <w:kern w:val="0"/>
          <w:szCs w:val="32"/>
          <w:highlight w:val="none"/>
          <w14:textFill>
            <w14:solidFill>
              <w14:schemeClr w14:val="tx1"/>
            </w14:solidFill>
          </w14:textFill>
        </w:rPr>
        <w:t>中</w:t>
      </w:r>
      <w:r>
        <w:rPr>
          <w:rFonts w:eastAsia="仿宋_GB2312"/>
          <w:color w:val="000000" w:themeColor="text1"/>
          <w:kern w:val="0"/>
          <w:szCs w:val="32"/>
          <w:highlight w:val="none"/>
          <w14:textFill>
            <w14:solidFill>
              <w14:schemeClr w14:val="tx1"/>
            </w14:solidFill>
          </w14:textFill>
        </w:rPr>
        <w:t>相应子目</w:t>
      </w:r>
      <w:r>
        <w:rPr>
          <w:rFonts w:hint="eastAsia" w:eastAsia="仿宋_GB2312"/>
          <w:color w:val="000000" w:themeColor="text1"/>
          <w:kern w:val="0"/>
          <w:szCs w:val="32"/>
          <w:highlight w:val="none"/>
          <w14:textFill>
            <w14:solidFill>
              <w14:schemeClr w14:val="tx1"/>
            </w14:solidFill>
          </w14:textFill>
        </w:rPr>
        <w:t>或材料设备</w:t>
      </w:r>
      <w:r>
        <w:rPr>
          <w:rFonts w:eastAsia="仿宋_GB2312"/>
          <w:color w:val="000000" w:themeColor="text1"/>
          <w:kern w:val="0"/>
          <w:szCs w:val="32"/>
          <w:highlight w:val="none"/>
          <w14:textFill>
            <w14:solidFill>
              <w14:schemeClr w14:val="tx1"/>
            </w14:solidFill>
          </w14:textFill>
        </w:rPr>
        <w:t>消耗量</w:t>
      </w:r>
      <w:r>
        <w:rPr>
          <w:rFonts w:hint="eastAsia" w:eastAsia="仿宋_GB2312"/>
          <w:color w:val="000000" w:themeColor="text1"/>
          <w:kern w:val="0"/>
          <w:szCs w:val="32"/>
          <w:highlight w:val="none"/>
          <w14:textFill>
            <w14:solidFill>
              <w14:schemeClr w14:val="tx1"/>
            </w14:solidFill>
          </w14:textFill>
        </w:rPr>
        <w:t>或</w:t>
      </w:r>
      <w:r>
        <w:rPr>
          <w:rFonts w:eastAsia="仿宋_GB2312"/>
          <w:color w:val="000000" w:themeColor="text1"/>
          <w:kern w:val="0"/>
          <w:szCs w:val="32"/>
          <w:highlight w:val="none"/>
          <w14:textFill>
            <w14:solidFill>
              <w14:schemeClr w14:val="tx1"/>
            </w14:solidFill>
          </w14:textFill>
        </w:rPr>
        <w:t>材料设备价格等进行调整换算，原管理费、利润水平不变，仅调整</w:t>
      </w:r>
      <w:r>
        <w:rPr>
          <w:rFonts w:hint="eastAsia" w:eastAsia="仿宋_GB2312"/>
          <w:color w:val="000000" w:themeColor="text1"/>
          <w:kern w:val="0"/>
          <w:szCs w:val="32"/>
          <w:highlight w:val="none"/>
          <w14:textFill>
            <w14:solidFill>
              <w14:schemeClr w14:val="tx1"/>
            </w14:solidFill>
          </w14:textFill>
        </w:rPr>
        <w:t>相应子目或材料设备消耗量或材料</w:t>
      </w:r>
      <w:r>
        <w:rPr>
          <w:rFonts w:eastAsia="仿宋_GB2312"/>
          <w:color w:val="000000" w:themeColor="text1"/>
          <w:kern w:val="0"/>
          <w:szCs w:val="32"/>
          <w:highlight w:val="none"/>
          <w14:textFill>
            <w14:solidFill>
              <w14:schemeClr w14:val="tx1"/>
            </w14:solidFill>
          </w14:textFill>
        </w:rPr>
        <w:t>设备价格（但发包人认为综合单价</w:t>
      </w:r>
      <w:r>
        <w:rPr>
          <w:rFonts w:hint="eastAsia" w:eastAsia="仿宋_GB2312"/>
          <w:color w:val="000000" w:themeColor="text1"/>
          <w:kern w:val="0"/>
          <w:szCs w:val="32"/>
          <w:highlight w:val="none"/>
          <w14:textFill>
            <w14:solidFill>
              <w14:schemeClr w14:val="tx1"/>
            </w14:solidFill>
          </w14:textFill>
        </w:rPr>
        <w:t>均</w:t>
      </w:r>
      <w:r>
        <w:rPr>
          <w:rFonts w:eastAsia="仿宋_GB2312"/>
          <w:color w:val="000000" w:themeColor="text1"/>
          <w:kern w:val="0"/>
          <w:szCs w:val="32"/>
          <w:highlight w:val="none"/>
          <w14:textFill>
            <w14:solidFill>
              <w14:schemeClr w14:val="tx1"/>
            </w14:solidFill>
          </w14:textFill>
        </w:rPr>
        <w:t>明显不合理</w:t>
      </w:r>
      <w:r>
        <w:rPr>
          <w:rFonts w:hint="eastAsia" w:eastAsia="仿宋_GB2312"/>
          <w:color w:val="000000" w:themeColor="text1"/>
          <w:kern w:val="0"/>
          <w:szCs w:val="32"/>
          <w:highlight w:val="none"/>
          <w14:textFill>
            <w14:solidFill>
              <w14:schemeClr w14:val="tx1"/>
            </w14:solidFill>
          </w14:textFill>
        </w:rPr>
        <w:t>，明显偏离市场价格且对发包人不利时，按本项第（4）目约定执行</w:t>
      </w:r>
      <w:r>
        <w:rPr>
          <w:rFonts w:eastAsia="仿宋_GB2312"/>
          <w:color w:val="000000" w:themeColor="text1"/>
          <w:kern w:val="0"/>
          <w:szCs w:val="32"/>
          <w:highlight w:val="none"/>
          <w14:textFill>
            <w14:solidFill>
              <w14:schemeClr w14:val="tx1"/>
            </w14:solidFill>
          </w14:textFill>
        </w:rPr>
        <w:t>）。如合同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工程量清单中类似项目的综合单价有两个或两个以上，则由发包人</w:t>
      </w:r>
      <w:r>
        <w:rPr>
          <w:rFonts w:hint="eastAsia" w:eastAsia="仿宋_GB2312"/>
          <w:color w:val="000000" w:themeColor="text1"/>
          <w:kern w:val="0"/>
          <w:szCs w:val="32"/>
          <w:highlight w:val="none"/>
          <w14:textFill>
            <w14:solidFill>
              <w14:schemeClr w14:val="tx1"/>
            </w14:solidFill>
          </w14:textFill>
        </w:rPr>
        <w:t>选择</w:t>
      </w:r>
      <w:r>
        <w:rPr>
          <w:rFonts w:eastAsia="仿宋_GB2312"/>
          <w:color w:val="000000" w:themeColor="text1"/>
          <w:kern w:val="0"/>
          <w:szCs w:val="32"/>
          <w:highlight w:val="none"/>
          <w14:textFill>
            <w14:solidFill>
              <w14:schemeClr w14:val="tx1"/>
            </w14:solidFill>
          </w14:textFill>
        </w:rPr>
        <w:t>有利于发包人的综合单价进行换算。</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所换算主材及设备价格首先执行工程造价管理机构发布的施工当期《广州市建设工程价格信息及有关计价办法的通知》并按本工程投标净下浮率下浮，（投标净下浮率=[1-（中标金额-不可竞争费）/（招标控制价-不可竞争费）]*100%）（实际施工跨月/季度的，则按发包人、监理单位共同确认的各月/季度施工完成的合格工程量为基础分别进行计算）；《广州市建筑工程价格信息及有关计价办法的通知》没有的主材及设备单价，由发包人、承包人和分包人结合市场价共同协商确定，主材价格不再下浮。</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招标控制价为在广州市建设工程造价监管平台备案的招标控制价格。</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w:t>
      </w:r>
      <w:r>
        <w:rPr>
          <w:rFonts w:eastAsia="仿宋_GB2312"/>
          <w:color w:val="000000" w:themeColor="text1"/>
          <w:kern w:val="0"/>
          <w:szCs w:val="32"/>
          <w:highlight w:val="none"/>
          <w14:textFill>
            <w14:solidFill>
              <w14:schemeClr w14:val="tx1"/>
            </w14:solidFill>
          </w14:textFill>
        </w:rPr>
        <w:t>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工程量清单中没有相同或类似适用项目的；或者合同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工程量清单中有相同或类似适用项目，但发包人</w:t>
      </w:r>
      <w:r>
        <w:rPr>
          <w:rFonts w:hint="eastAsia" w:eastAsia="仿宋_GB2312"/>
          <w:color w:val="000000" w:themeColor="text1"/>
          <w:kern w:val="0"/>
          <w:szCs w:val="32"/>
          <w:highlight w:val="none"/>
          <w14:textFill>
            <w14:solidFill>
              <w14:schemeClr w14:val="tx1"/>
            </w14:solidFill>
          </w14:textFill>
        </w:rPr>
        <w:t>均</w:t>
      </w:r>
      <w:r>
        <w:rPr>
          <w:rFonts w:eastAsia="仿宋_GB2312"/>
          <w:color w:val="000000" w:themeColor="text1"/>
          <w:kern w:val="0"/>
          <w:szCs w:val="32"/>
          <w:highlight w:val="none"/>
          <w14:textFill>
            <w14:solidFill>
              <w14:schemeClr w14:val="tx1"/>
            </w14:solidFill>
          </w14:textFill>
        </w:rPr>
        <w:t>认为综合单价明显不合理的，按以下原则计价：</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sym w:font="Wingdings 2" w:char="F06A"/>
      </w:r>
      <w:r>
        <w:rPr>
          <w:rFonts w:hint="eastAsia" w:eastAsia="仿宋_GB2312"/>
          <w:color w:val="000000" w:themeColor="text1"/>
          <w:kern w:val="0"/>
          <w:szCs w:val="32"/>
          <w:highlight w:val="none"/>
          <w14:textFill>
            <w14:solidFill>
              <w14:schemeClr w14:val="tx1"/>
            </w14:solidFill>
          </w14:textFill>
        </w:rPr>
        <w:t>由分包人依据变更工程资料，按《房屋建筑与装饰工程工程量计算规范（</w:t>
      </w:r>
      <w:r>
        <w:rPr>
          <w:rFonts w:eastAsia="仿宋_GB2312"/>
          <w:color w:val="000000" w:themeColor="text1"/>
          <w:kern w:val="0"/>
          <w:szCs w:val="32"/>
          <w:highlight w:val="none"/>
          <w14:textFill>
            <w14:solidFill>
              <w14:schemeClr w14:val="tx1"/>
            </w14:solidFill>
          </w14:textFill>
        </w:rPr>
        <w:t>2013</w:t>
      </w:r>
      <w:r>
        <w:rPr>
          <w:rFonts w:hint="eastAsia" w:eastAsia="仿宋_GB2312"/>
          <w:color w:val="000000" w:themeColor="text1"/>
          <w:kern w:val="0"/>
          <w:szCs w:val="32"/>
          <w:highlight w:val="none"/>
          <w14:textFill>
            <w14:solidFill>
              <w14:schemeClr w14:val="tx1"/>
            </w14:solidFill>
          </w14:textFill>
        </w:rPr>
        <w:t>）》、《房屋建筑安装工程工程量计算规范（</w:t>
      </w:r>
      <w:r>
        <w:rPr>
          <w:rFonts w:eastAsia="仿宋_GB2312"/>
          <w:color w:val="000000" w:themeColor="text1"/>
          <w:kern w:val="0"/>
          <w:szCs w:val="32"/>
          <w:highlight w:val="none"/>
          <w14:textFill>
            <w14:solidFill>
              <w14:schemeClr w14:val="tx1"/>
            </w14:solidFill>
          </w14:textFill>
        </w:rPr>
        <w:t>2013</w:t>
      </w:r>
      <w:r>
        <w:rPr>
          <w:rFonts w:hint="eastAsia" w:eastAsia="仿宋_GB2312"/>
          <w:color w:val="000000" w:themeColor="text1"/>
          <w:kern w:val="0"/>
          <w:szCs w:val="32"/>
          <w:highlight w:val="none"/>
          <w14:textFill>
            <w14:solidFill>
              <w14:schemeClr w14:val="tx1"/>
            </w14:solidFill>
          </w14:textFill>
        </w:rPr>
        <w:t>）》、《市政工程工程量计算规范（</w:t>
      </w:r>
      <w:r>
        <w:rPr>
          <w:rFonts w:eastAsia="仿宋_GB2312"/>
          <w:color w:val="000000" w:themeColor="text1"/>
          <w:kern w:val="0"/>
          <w:szCs w:val="32"/>
          <w:highlight w:val="none"/>
          <w14:textFill>
            <w14:solidFill>
              <w14:schemeClr w14:val="tx1"/>
            </w14:solidFill>
          </w14:textFill>
        </w:rPr>
        <w:t>2013</w:t>
      </w:r>
      <w:r>
        <w:rPr>
          <w:rFonts w:hint="eastAsia" w:eastAsia="仿宋_GB2312"/>
          <w:color w:val="000000" w:themeColor="text1"/>
          <w:kern w:val="0"/>
          <w:szCs w:val="32"/>
          <w:highlight w:val="none"/>
          <w14:textFill>
            <w14:solidFill>
              <w14:schemeClr w14:val="tx1"/>
            </w14:solidFill>
          </w14:textFill>
        </w:rPr>
        <w:t>）》、《园林绿化工程工程量计算规范（</w:t>
      </w:r>
      <w:r>
        <w:rPr>
          <w:rFonts w:eastAsia="仿宋_GB2312"/>
          <w:color w:val="000000" w:themeColor="text1"/>
          <w:kern w:val="0"/>
          <w:szCs w:val="32"/>
          <w:highlight w:val="none"/>
          <w14:textFill>
            <w14:solidFill>
              <w14:schemeClr w14:val="tx1"/>
            </w14:solidFill>
          </w14:textFill>
        </w:rPr>
        <w:t>2013</w:t>
      </w:r>
      <w:r>
        <w:rPr>
          <w:rFonts w:hint="eastAsia" w:eastAsia="仿宋_GB2312"/>
          <w:color w:val="000000" w:themeColor="text1"/>
          <w:kern w:val="0"/>
          <w:szCs w:val="32"/>
          <w:highlight w:val="none"/>
          <w14:textFill>
            <w14:solidFill>
              <w14:schemeClr w14:val="tx1"/>
            </w14:solidFill>
          </w14:textFill>
        </w:rPr>
        <w:t>）》，执行广东省</w:t>
      </w:r>
      <w:r>
        <w:rPr>
          <w:rFonts w:eastAsia="仿宋_GB2312"/>
          <w:color w:val="000000" w:themeColor="text1"/>
          <w:kern w:val="0"/>
          <w:szCs w:val="32"/>
          <w:highlight w:val="none"/>
          <w14:textFill>
            <w14:solidFill>
              <w14:schemeClr w14:val="tx1"/>
            </w14:solidFill>
          </w14:textFill>
        </w:rPr>
        <w:t>2018</w:t>
      </w:r>
      <w:r>
        <w:rPr>
          <w:rFonts w:hint="eastAsia" w:eastAsia="仿宋_GB2312"/>
          <w:color w:val="000000" w:themeColor="text1"/>
          <w:kern w:val="0"/>
          <w:szCs w:val="32"/>
          <w:highlight w:val="none"/>
          <w14:textFill>
            <w14:solidFill>
              <w14:schemeClr w14:val="tx1"/>
            </w14:solidFill>
          </w14:textFill>
        </w:rPr>
        <w:t>年相关定额标准及工程造价管理机构发布的施工当期《广州市建设工程价格信息及有关计价办法的通知》材料设备参考价格编制综合单价，并按税前下浮</w:t>
      </w:r>
      <w:r>
        <w:rPr>
          <w:rFonts w:eastAsia="仿宋_GB2312"/>
          <w:color w:val="000000" w:themeColor="text1"/>
          <w:kern w:val="0"/>
          <w:szCs w:val="32"/>
          <w:highlight w:val="none"/>
          <w14:textFill>
            <w14:solidFill>
              <w14:schemeClr w14:val="tx1"/>
            </w14:solidFill>
          </w14:textFill>
        </w:rPr>
        <w:t>10 %</w:t>
      </w:r>
      <w:r>
        <w:rPr>
          <w:rFonts w:hint="eastAsia" w:eastAsia="仿宋_GB2312"/>
          <w:color w:val="000000" w:themeColor="text1"/>
          <w:kern w:val="0"/>
          <w:szCs w:val="32"/>
          <w:highlight w:val="none"/>
          <w14:textFill>
            <w14:solidFill>
              <w14:schemeClr w14:val="tx1"/>
            </w14:solidFill>
          </w14:textFill>
        </w:rPr>
        <w:t>确认变更项目不含税综合单价。若《广州市建设工程价格信息及有关计价办法的通知》没有的材料、设备单价，由发包人、监理人（若需）、承包人、分包人结合市场价共同协商确定，主材价格不再下浮。</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sym w:font="Wingdings 2" w:char="F06B"/>
      </w:r>
      <w:r>
        <w:rPr>
          <w:rFonts w:eastAsia="仿宋_GB2312"/>
          <w:color w:val="000000" w:themeColor="text1"/>
          <w:kern w:val="0"/>
          <w:szCs w:val="32"/>
          <w:highlight w:val="none"/>
          <w14:textFill>
            <w14:solidFill>
              <w14:schemeClr w14:val="tx1"/>
            </w14:solidFill>
          </w14:textFill>
        </w:rPr>
        <w:t>合同</w:t>
      </w:r>
      <w:r>
        <w:rPr>
          <w:rFonts w:hint="eastAsia" w:eastAsia="仿宋_GB2312"/>
          <w:color w:val="000000" w:themeColor="text1"/>
          <w:kern w:val="0"/>
          <w:szCs w:val="32"/>
          <w:highlight w:val="none"/>
          <w14:textFill>
            <w14:solidFill>
              <w14:schemeClr w14:val="tx1"/>
            </w14:solidFill>
          </w14:textFill>
        </w:rPr>
        <w:t>已标价</w:t>
      </w:r>
      <w:r>
        <w:rPr>
          <w:rFonts w:eastAsia="仿宋_GB2312"/>
          <w:color w:val="000000" w:themeColor="text1"/>
          <w:kern w:val="0"/>
          <w:szCs w:val="32"/>
          <w:highlight w:val="none"/>
          <w14:textFill>
            <w14:solidFill>
              <w14:schemeClr w14:val="tx1"/>
            </w14:solidFill>
          </w14:textFill>
        </w:rPr>
        <w:t>工程量清单没有相同或相类似且无相关定额</w:t>
      </w:r>
      <w:r>
        <w:rPr>
          <w:rFonts w:hint="eastAsia" w:eastAsia="仿宋_GB2312"/>
          <w:color w:val="000000" w:themeColor="text1"/>
          <w:kern w:val="0"/>
          <w:szCs w:val="32"/>
          <w:highlight w:val="none"/>
          <w14:textFill>
            <w14:solidFill>
              <w14:schemeClr w14:val="tx1"/>
            </w14:solidFill>
          </w14:textFill>
        </w:rPr>
        <w:t>子目可套用</w:t>
      </w:r>
      <w:r>
        <w:rPr>
          <w:rFonts w:eastAsia="仿宋_GB2312"/>
          <w:color w:val="000000" w:themeColor="text1"/>
          <w:kern w:val="0"/>
          <w:szCs w:val="32"/>
          <w:highlight w:val="none"/>
          <w14:textFill>
            <w14:solidFill>
              <w14:schemeClr w14:val="tx1"/>
            </w14:solidFill>
          </w14:textFill>
        </w:rPr>
        <w:t>的项目，由发包人、承包人</w:t>
      </w:r>
      <w:r>
        <w:rPr>
          <w:rFonts w:hint="eastAsia" w:eastAsia="仿宋_GB2312"/>
          <w:color w:val="000000" w:themeColor="text1"/>
          <w:kern w:val="0"/>
          <w:szCs w:val="32"/>
          <w:highlight w:val="none"/>
          <w14:textFill>
            <w14:solidFill>
              <w14:schemeClr w14:val="tx1"/>
            </w14:solidFill>
          </w14:textFill>
        </w:rPr>
        <w:t>、分包人</w:t>
      </w:r>
      <w:r>
        <w:rPr>
          <w:rFonts w:eastAsia="仿宋_GB2312"/>
          <w:color w:val="000000" w:themeColor="text1"/>
          <w:kern w:val="0"/>
          <w:szCs w:val="32"/>
          <w:highlight w:val="none"/>
          <w14:textFill>
            <w14:solidFill>
              <w14:schemeClr w14:val="tx1"/>
            </w14:solidFill>
          </w14:textFill>
        </w:rPr>
        <w:t>结合市场价共同协商确定。</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（4）当</w:t>
      </w:r>
      <w:r>
        <w:rPr>
          <w:rFonts w:eastAsia="仿宋_GB2312"/>
          <w:color w:val="000000" w:themeColor="text1"/>
          <w:kern w:val="0"/>
          <w:szCs w:val="32"/>
          <w:highlight w:val="none"/>
          <w14:textFill>
            <w14:solidFill>
              <w14:schemeClr w14:val="tx1"/>
            </w14:solidFill>
          </w14:textFill>
        </w:rPr>
        <w:t>发包人认为</w:t>
      </w:r>
      <w:r>
        <w:rPr>
          <w:rFonts w:hint="eastAsia" w:eastAsia="仿宋_GB2312"/>
          <w:color w:val="000000" w:themeColor="text1"/>
          <w:kern w:val="0"/>
          <w:szCs w:val="32"/>
          <w:highlight w:val="none"/>
          <w14:textFill>
            <w14:solidFill>
              <w14:schemeClr w14:val="tx1"/>
            </w14:solidFill>
          </w14:textFill>
        </w:rPr>
        <w:t>变更前合同已标价工程量清单项目单价或合同已标价工程量清单中</w:t>
      </w:r>
      <w:r>
        <w:rPr>
          <w:rFonts w:eastAsia="仿宋_GB2312"/>
          <w:color w:val="000000" w:themeColor="text1"/>
          <w:kern w:val="0"/>
          <w:szCs w:val="32"/>
          <w:highlight w:val="none"/>
          <w14:textFill>
            <w14:solidFill>
              <w14:schemeClr w14:val="tx1"/>
            </w14:solidFill>
          </w14:textFill>
        </w:rPr>
        <w:t>相同适用项目</w:t>
      </w:r>
      <w:r>
        <w:rPr>
          <w:rFonts w:hint="eastAsia" w:eastAsia="仿宋_GB2312"/>
          <w:color w:val="000000" w:themeColor="text1"/>
          <w:kern w:val="0"/>
          <w:szCs w:val="32"/>
          <w:highlight w:val="none"/>
          <w14:textFill>
            <w14:solidFill>
              <w14:schemeClr w14:val="tx1"/>
            </w14:solidFill>
          </w14:textFill>
        </w:rPr>
        <w:t>单价或</w:t>
      </w:r>
      <w:r>
        <w:rPr>
          <w:rFonts w:eastAsia="仿宋_GB2312"/>
          <w:color w:val="000000" w:themeColor="text1"/>
          <w:kern w:val="0"/>
          <w:szCs w:val="32"/>
          <w:highlight w:val="none"/>
          <w14:textFill>
            <w14:solidFill>
              <w14:schemeClr w14:val="tx1"/>
            </w14:solidFill>
          </w14:textFill>
        </w:rPr>
        <w:t>类似适用项目</w:t>
      </w:r>
      <w:r>
        <w:rPr>
          <w:rFonts w:hint="eastAsia" w:eastAsia="仿宋_GB2312"/>
          <w:color w:val="000000" w:themeColor="text1"/>
          <w:kern w:val="0"/>
          <w:szCs w:val="32"/>
          <w:highlight w:val="none"/>
          <w14:textFill>
            <w14:solidFill>
              <w14:schemeClr w14:val="tx1"/>
            </w14:solidFill>
          </w14:textFill>
        </w:rPr>
        <w:t>单价</w:t>
      </w:r>
      <w:r>
        <w:rPr>
          <w:rFonts w:eastAsia="仿宋_GB2312"/>
          <w:color w:val="000000" w:themeColor="text1"/>
          <w:kern w:val="0"/>
          <w:szCs w:val="32"/>
          <w:highlight w:val="none"/>
          <w14:textFill>
            <w14:solidFill>
              <w14:schemeClr w14:val="tx1"/>
            </w14:solidFill>
          </w14:textFill>
        </w:rPr>
        <w:t>明显不合理</w:t>
      </w:r>
      <w:r>
        <w:rPr>
          <w:rFonts w:hint="eastAsia" w:eastAsia="仿宋_GB2312"/>
          <w:color w:val="000000" w:themeColor="text1"/>
          <w:kern w:val="0"/>
          <w:szCs w:val="32"/>
          <w:highlight w:val="none"/>
          <w14:textFill>
            <w14:solidFill>
              <w14:schemeClr w14:val="tx1"/>
            </w14:solidFill>
          </w14:textFill>
        </w:rPr>
        <w:t>，明显偏离市场价格且对发包人不利时，变更价款按以下约定执行：</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sym w:font="Wingdings 2" w:char="F06A"/>
      </w:r>
      <w:r>
        <w:rPr>
          <w:rFonts w:hint="eastAsia" w:eastAsia="仿宋_GB2312"/>
          <w:color w:val="000000" w:themeColor="text1"/>
          <w:kern w:val="0"/>
          <w:szCs w:val="32"/>
          <w:highlight w:val="none"/>
          <w14:textFill>
            <w14:solidFill>
              <w14:schemeClr w14:val="tx1"/>
            </w14:solidFill>
          </w14:textFill>
        </w:rPr>
        <w:t>当变更前的合同已标价工程量清单项目单价明显偏低，明显偏离市场价格且对发包人不利时，则对应变更后的项目单价，参照本项第（3）目编制综合单价，税前下浮，下浮率为1-变更前合同已标价工程量清单对应项目单价/中标控制价对应清单项目综合单价。</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sym w:font="Wingdings 2" w:char="F06B"/>
      </w:r>
      <w:r>
        <w:rPr>
          <w:rFonts w:hint="eastAsia" w:eastAsia="仿宋_GB2312"/>
          <w:color w:val="000000" w:themeColor="text1"/>
          <w:kern w:val="0"/>
          <w:szCs w:val="32"/>
          <w:highlight w:val="none"/>
          <w14:textFill>
            <w14:solidFill>
              <w14:schemeClr w14:val="tx1"/>
            </w14:solidFill>
          </w14:textFill>
        </w:rPr>
        <w:t>如果合同已标价工程量清单中</w:t>
      </w:r>
      <w:r>
        <w:rPr>
          <w:rFonts w:eastAsia="仿宋_GB2312"/>
          <w:color w:val="000000" w:themeColor="text1"/>
          <w:kern w:val="0"/>
          <w:szCs w:val="32"/>
          <w:highlight w:val="none"/>
          <w14:textFill>
            <w14:solidFill>
              <w14:schemeClr w14:val="tx1"/>
            </w14:solidFill>
          </w14:textFill>
        </w:rPr>
        <w:t>相同适用项目</w:t>
      </w:r>
      <w:r>
        <w:rPr>
          <w:rFonts w:hint="eastAsia" w:eastAsia="仿宋_GB2312"/>
          <w:color w:val="000000" w:themeColor="text1"/>
          <w:kern w:val="0"/>
          <w:szCs w:val="32"/>
          <w:highlight w:val="none"/>
          <w14:textFill>
            <w14:solidFill>
              <w14:schemeClr w14:val="tx1"/>
            </w14:solidFill>
          </w14:textFill>
        </w:rPr>
        <w:t>单价或</w:t>
      </w:r>
      <w:r>
        <w:rPr>
          <w:rFonts w:eastAsia="仿宋_GB2312"/>
          <w:color w:val="000000" w:themeColor="text1"/>
          <w:kern w:val="0"/>
          <w:szCs w:val="32"/>
          <w:highlight w:val="none"/>
          <w14:textFill>
            <w14:solidFill>
              <w14:schemeClr w14:val="tx1"/>
            </w14:solidFill>
          </w14:textFill>
        </w:rPr>
        <w:t>类似适用项目</w:t>
      </w:r>
      <w:r>
        <w:rPr>
          <w:rFonts w:hint="eastAsia" w:eastAsia="仿宋_GB2312"/>
          <w:color w:val="000000" w:themeColor="text1"/>
          <w:kern w:val="0"/>
          <w:szCs w:val="32"/>
          <w:highlight w:val="none"/>
          <w14:textFill>
            <w14:solidFill>
              <w14:schemeClr w14:val="tx1"/>
            </w14:solidFill>
          </w14:textFill>
        </w:rPr>
        <w:t>单价均存在第16.3.1项目第（1）目情况时，则变更后的项目单价按本项第（3）目约定重新组价。</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（5）发包人或监理人发出的合理变更指令，经承包人书面确认，分包人应无条件执行。</w:t>
      </w:r>
      <w:r>
        <w:rPr>
          <w:rFonts w:eastAsia="仿宋_GB2312"/>
          <w:color w:val="000000" w:themeColor="text1"/>
          <w:kern w:val="0"/>
          <w:szCs w:val="32"/>
          <w:highlight w:val="none"/>
          <w14:textFill>
            <w14:solidFill>
              <w14:schemeClr w14:val="tx1"/>
            </w14:solidFill>
          </w14:textFill>
        </w:rPr>
        <w:t>分包人不得以变更价款未确认等理由</w:t>
      </w:r>
      <w:r>
        <w:rPr>
          <w:rFonts w:hint="eastAsia" w:eastAsia="仿宋_GB2312"/>
          <w:color w:val="000000" w:themeColor="text1"/>
          <w:kern w:val="0"/>
          <w:szCs w:val="32"/>
          <w:highlight w:val="none"/>
          <w14:textFill>
            <w14:solidFill>
              <w14:schemeClr w14:val="tx1"/>
            </w14:solidFill>
          </w14:textFill>
        </w:rPr>
        <w:t>暂停施工</w:t>
      </w:r>
      <w:r>
        <w:rPr>
          <w:rFonts w:eastAsia="仿宋_GB2312"/>
          <w:color w:val="000000" w:themeColor="text1"/>
          <w:kern w:val="0"/>
          <w:szCs w:val="32"/>
          <w:highlight w:val="none"/>
          <w14:textFill>
            <w14:solidFill>
              <w14:schemeClr w14:val="tx1"/>
            </w14:solidFill>
          </w14:textFill>
        </w:rPr>
        <w:t>或消极怠工</w:t>
      </w:r>
      <w:r>
        <w:rPr>
          <w:rFonts w:hint="eastAsia" w:eastAsia="仿宋_GB2312"/>
          <w:color w:val="000000" w:themeColor="text1"/>
          <w:kern w:val="0"/>
          <w:szCs w:val="32"/>
          <w:highlight w:val="none"/>
          <w14:textFill>
            <w14:solidFill>
              <w14:schemeClr w14:val="tx1"/>
            </w14:solidFill>
          </w14:textFill>
        </w:rPr>
        <w:t>或停工</w:t>
      </w:r>
      <w:r>
        <w:rPr>
          <w:rFonts w:eastAsia="仿宋_GB2312"/>
          <w:color w:val="000000" w:themeColor="text1"/>
          <w:kern w:val="0"/>
          <w:szCs w:val="32"/>
          <w:highlight w:val="none"/>
          <w14:textFill>
            <w14:solidFill>
              <w14:schemeClr w14:val="tx1"/>
            </w14:solidFill>
          </w14:textFill>
        </w:rPr>
        <w:t>，若由此导致的工期延误，由分包人自行承担，并根据相应条款</w:t>
      </w:r>
      <w:r>
        <w:rPr>
          <w:rFonts w:hint="eastAsia" w:eastAsia="仿宋_GB2312"/>
          <w:color w:val="000000" w:themeColor="text1"/>
          <w:kern w:val="0"/>
          <w:szCs w:val="32"/>
          <w:highlight w:val="none"/>
          <w14:textFill>
            <w14:solidFill>
              <w14:schemeClr w14:val="tx1"/>
            </w14:solidFill>
          </w14:textFill>
        </w:rPr>
        <w:t>承担违约责任及</w:t>
      </w:r>
      <w:r>
        <w:rPr>
          <w:rFonts w:eastAsia="仿宋_GB2312"/>
          <w:color w:val="000000" w:themeColor="text1"/>
          <w:kern w:val="0"/>
          <w:szCs w:val="32"/>
          <w:highlight w:val="none"/>
          <w14:textFill>
            <w14:solidFill>
              <w14:schemeClr w14:val="tx1"/>
            </w14:solidFill>
          </w14:textFill>
        </w:rPr>
        <w:t>赔</w:t>
      </w:r>
      <w:r>
        <w:rPr>
          <w:rFonts w:hint="eastAsia" w:eastAsia="仿宋_GB2312"/>
          <w:color w:val="000000" w:themeColor="text1"/>
          <w:kern w:val="0"/>
          <w:szCs w:val="32"/>
          <w:highlight w:val="none"/>
          <w14:textFill>
            <w14:solidFill>
              <w14:schemeClr w14:val="tx1"/>
            </w14:solidFill>
          </w14:textFill>
        </w:rPr>
        <w:t>偿发包人或承包人的损失</w:t>
      </w:r>
      <w:r>
        <w:rPr>
          <w:rFonts w:eastAsia="仿宋_GB2312"/>
          <w:color w:val="000000" w:themeColor="text1"/>
          <w:kern w:val="0"/>
          <w:szCs w:val="32"/>
          <w:highlight w:val="none"/>
          <w14:textFill>
            <w14:solidFill>
              <w14:schemeClr w14:val="tx1"/>
            </w14:solidFill>
          </w14:textFill>
        </w:rPr>
        <w:t>。</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6）应报而漏报或报价为零的清单项目，则视为其价格已含在签约合同价格中，发包人将不另行支付费用。如该类清单发生变更时，变更价款确认原则如下：变更前价款为招标控制价对应清单项目的综合单价乘以投标净下浮率乘以变更前工程量所得价款；变更后价款计价原则按合同第15.2.1款约定执行。</w:t>
      </w:r>
    </w:p>
    <w:p>
      <w:pPr>
        <w:pStyle w:val="75"/>
        <w:ind w:firstLine="422"/>
        <w:rPr>
          <w:color w:val="000000" w:themeColor="text1"/>
          <w:highlight w:val="none"/>
          <w14:textFill>
            <w14:solidFill>
              <w14:schemeClr w14:val="tx1"/>
            </w14:solidFill>
          </w14:textFill>
        </w:rPr>
      </w:pPr>
      <w:bookmarkStart w:id="769" w:name="_Toc32149"/>
      <w:r>
        <w:rPr>
          <w:rFonts w:hint="eastAsia"/>
          <w:color w:val="000000" w:themeColor="text1"/>
          <w:highlight w:val="none"/>
          <w14:textFill>
            <w14:solidFill>
              <w14:schemeClr w14:val="tx1"/>
            </w14:solidFill>
          </w14:textFill>
        </w:rPr>
        <w:t>15.2.2. 对于变更价款确定的其他约定</w:t>
      </w:r>
      <w:bookmarkEnd w:id="76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递交的关于任何变更的估价或报价应包括相应变更的工程量计算书；计算书应具有充分的可追溯性，用于计算的原始数字仅能来源于发包人通过承包人下发的图纸、发包人通过承包人下发的变更；计算书应注明计算所依据的图纸、变更或其他文件的编号、发生的区段位置（轴线和标高）、构件或房间号等索引信息，且应写明算术运算的过程，以便监理人及发包人能方便和快捷地根据合同文件进行追溯校核；变更工程量计算书和报价书的格式需经过承包人审核、监理人及发包人的审批。如果监理人或发包人要求，分包人应确保其工程量计算人员在要求的任何合理时间就其工程量计算的过程、计算书和价格组成明细等向监理人或发包人作必要解释，以确保变更计量和计价工作的及时性和准确性。</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对图纸的不明确部分做出的任何澄清、明确和确认（除设计技术漏项外）以及工程指令单均不属于变更，不适用于工程变更的计量和计价。只有按发包人要求办理设计变更或现场签证完成确认审批流程的，方视为变更，并可根据确认结果调整合同价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3）深化设计内容不属于变更。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签证的资料要求：签证工程必须同时具有发包人签字盖章的指令单、设计变更单（若需）、签证单（有需要的须附上竣工图及验收单），如资料不全，工程造价增加的视为分包人放弃此项权利，工程造价减少的按实结算扣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5）签证的时限要求：分包人应在收到发包人发出的签证指令后</w:t>
      </w:r>
      <w:r>
        <w:rPr>
          <w:rFonts w:hint="eastAsia"/>
          <w:color w:val="000000" w:themeColor="text1"/>
          <w:highlight w:val="none"/>
          <w:u w:val="single"/>
          <w14:textFill>
            <w14:solidFill>
              <w14:schemeClr w14:val="tx1"/>
            </w14:solidFill>
          </w14:textFill>
        </w:rPr>
        <w:t>10天</w:t>
      </w:r>
      <w:r>
        <w:rPr>
          <w:rFonts w:hint="eastAsia"/>
          <w:color w:val="000000" w:themeColor="text1"/>
          <w:highlight w:val="none"/>
          <w14:textFill>
            <w14:solidFill>
              <w14:schemeClr w14:val="tx1"/>
            </w14:solidFill>
          </w14:textFill>
        </w:rPr>
        <w:t>内通过承包人向监理人和发包人申报《工程签证申请表》，并附签证指令、计划完成时间、预估签证费用等资料。</w:t>
      </w:r>
      <w:r>
        <w:rPr>
          <w:color w:val="000000" w:themeColor="text1"/>
          <w:highlight w:val="none"/>
          <w14:textFill>
            <w14:solidFill>
              <w14:schemeClr w14:val="tx1"/>
            </w14:solidFill>
          </w14:textFill>
        </w:rPr>
        <w:t>在发包人未回复具体的审核价</w:t>
      </w:r>
      <w:r>
        <w:rPr>
          <w:rFonts w:hint="eastAsia"/>
          <w:color w:val="000000" w:themeColor="text1"/>
          <w:highlight w:val="none"/>
          <w14:textFill>
            <w14:solidFill>
              <w14:schemeClr w14:val="tx1"/>
            </w14:solidFill>
          </w14:textFill>
        </w:rPr>
        <w:t>或双方对核价有争议时</w:t>
      </w:r>
      <w:r>
        <w:rPr>
          <w:color w:val="000000" w:themeColor="text1"/>
          <w:highlight w:val="none"/>
          <w14:textFill>
            <w14:solidFill>
              <w14:schemeClr w14:val="tx1"/>
            </w14:solidFill>
          </w14:textFill>
        </w:rPr>
        <w:t>，分包人不得以</w:t>
      </w:r>
      <w:r>
        <w:rPr>
          <w:rFonts w:hint="eastAsia"/>
          <w:color w:val="000000" w:themeColor="text1"/>
          <w:highlight w:val="none"/>
          <w14:textFill>
            <w14:solidFill>
              <w14:schemeClr w14:val="tx1"/>
            </w14:solidFill>
          </w14:textFill>
        </w:rPr>
        <w:t>核价等</w:t>
      </w:r>
      <w:r>
        <w:rPr>
          <w:color w:val="000000" w:themeColor="text1"/>
          <w:highlight w:val="none"/>
          <w14:textFill>
            <w14:solidFill>
              <w14:schemeClr w14:val="tx1"/>
            </w14:solidFill>
          </w14:textFill>
        </w:rPr>
        <w:t>任何理由停工或拖延施工</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若</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停工或拖延施工</w:t>
      </w:r>
      <w:r>
        <w:rPr>
          <w:rFonts w:hint="eastAsia"/>
          <w:color w:val="000000" w:themeColor="text1"/>
          <w:highlight w:val="none"/>
          <w14:textFill>
            <w14:solidFill>
              <w14:schemeClr w14:val="tx1"/>
            </w14:solidFill>
          </w14:textFill>
        </w:rPr>
        <w:t>的，</w:t>
      </w:r>
      <w:r>
        <w:rPr>
          <w:color w:val="000000" w:themeColor="text1"/>
          <w:highlight w:val="none"/>
          <w14:textFill>
            <w14:solidFill>
              <w14:schemeClr w14:val="tx1"/>
            </w14:solidFill>
          </w14:textFill>
        </w:rPr>
        <w:t>由此导致的工期延误，由分包人自行承担</w:t>
      </w:r>
      <w:r>
        <w:rPr>
          <w:rFonts w:hint="eastAsia"/>
          <w:color w:val="000000" w:themeColor="text1"/>
          <w:highlight w:val="none"/>
          <w14:textFill>
            <w14:solidFill>
              <w14:schemeClr w14:val="tx1"/>
            </w14:solidFill>
          </w14:textFill>
        </w:rPr>
        <w:t>，且分包人应按</w:t>
      </w:r>
      <w:r>
        <w:rPr>
          <w:color w:val="000000" w:themeColor="text1"/>
          <w:highlight w:val="none"/>
          <w14:textFill>
            <w14:solidFill>
              <w14:schemeClr w14:val="tx1"/>
            </w14:solidFill>
          </w14:textFill>
        </w:rPr>
        <w:t>停工或拖延施工</w:t>
      </w:r>
      <w:r>
        <w:rPr>
          <w:rFonts w:hint="eastAsia"/>
          <w:color w:val="000000" w:themeColor="text1"/>
          <w:highlight w:val="none"/>
          <w14:textFill>
            <w14:solidFill>
              <w14:schemeClr w14:val="tx1"/>
            </w14:solidFill>
          </w14:textFill>
        </w:rPr>
        <w:t>天数承担</w:t>
      </w:r>
      <w:r>
        <w:rPr>
          <w:rFonts w:hint="eastAsia"/>
          <w:color w:val="000000" w:themeColor="text1"/>
          <w:highlight w:val="none"/>
          <w:u w:val="single"/>
          <w14:textFill>
            <w14:solidFill>
              <w14:schemeClr w14:val="tx1"/>
            </w14:solidFill>
          </w14:textFill>
        </w:rPr>
        <w:t>10000元/天</w:t>
      </w:r>
      <w:r>
        <w:rPr>
          <w:rFonts w:hint="eastAsia"/>
          <w:color w:val="000000" w:themeColor="text1"/>
          <w:highlight w:val="none"/>
          <w14:textFill>
            <w14:solidFill>
              <w14:schemeClr w14:val="tx1"/>
            </w14:solidFill>
          </w14:textFill>
        </w:rPr>
        <w:t>的违约金</w:t>
      </w:r>
      <w:r>
        <w:rPr>
          <w:color w:val="000000" w:themeColor="text1"/>
          <w:highlight w:val="none"/>
          <w14:textFill>
            <w14:solidFill>
              <w14:schemeClr w14:val="tx1"/>
            </w14:solidFill>
          </w14:textFill>
        </w:rPr>
        <w:t>。</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eastAsia="仿宋_GB2312"/>
          <w:color w:val="000000" w:themeColor="text1"/>
          <w:kern w:val="0"/>
          <w:szCs w:val="32"/>
          <w:highlight w:val="none"/>
          <w14:textFill>
            <w14:solidFill>
              <w14:schemeClr w14:val="tx1"/>
            </w14:solidFill>
          </w14:textFill>
        </w:rPr>
        <w:t>分包人应在</w:t>
      </w:r>
      <w:r>
        <w:rPr>
          <w:rFonts w:hint="eastAsia" w:eastAsia="仿宋_GB2312"/>
          <w:color w:val="000000" w:themeColor="text1"/>
          <w:kern w:val="0"/>
          <w:szCs w:val="32"/>
          <w:highlight w:val="none"/>
          <w14:textFill>
            <w14:solidFill>
              <w14:schemeClr w14:val="tx1"/>
            </w14:solidFill>
          </w14:textFill>
        </w:rPr>
        <w:t>签证实施</w:t>
      </w:r>
      <w:r>
        <w:rPr>
          <w:rFonts w:eastAsia="仿宋_GB2312"/>
          <w:color w:val="000000" w:themeColor="text1"/>
          <w:kern w:val="0"/>
          <w:szCs w:val="32"/>
          <w:highlight w:val="none"/>
          <w14:textFill>
            <w14:solidFill>
              <w14:schemeClr w14:val="tx1"/>
            </w14:solidFill>
          </w14:textFill>
        </w:rPr>
        <w:t>完成后</w:t>
      </w:r>
      <w:r>
        <w:rPr>
          <w:rFonts w:hint="eastAsia" w:eastAsia="仿宋_GB2312"/>
          <w:color w:val="000000" w:themeColor="text1"/>
          <w:kern w:val="0"/>
          <w:szCs w:val="32"/>
          <w:highlight w:val="none"/>
          <w:u w:val="single"/>
          <w14:textFill>
            <w14:solidFill>
              <w14:schemeClr w14:val="tx1"/>
            </w14:solidFill>
          </w14:textFill>
        </w:rPr>
        <w:t>15</w:t>
      </w:r>
      <w:r>
        <w:rPr>
          <w:rFonts w:eastAsia="仿宋_GB2312"/>
          <w:color w:val="000000" w:themeColor="text1"/>
          <w:kern w:val="0"/>
          <w:szCs w:val="32"/>
          <w:highlight w:val="none"/>
          <w:u w:val="single"/>
          <w14:textFill>
            <w14:solidFill>
              <w14:schemeClr w14:val="tx1"/>
            </w14:solidFill>
          </w14:textFill>
        </w:rPr>
        <w:t>天</w:t>
      </w:r>
      <w:r>
        <w:rPr>
          <w:rFonts w:eastAsia="仿宋_GB2312"/>
          <w:color w:val="000000" w:themeColor="text1"/>
          <w:kern w:val="0"/>
          <w:szCs w:val="32"/>
          <w:highlight w:val="none"/>
          <w14:textFill>
            <w14:solidFill>
              <w14:schemeClr w14:val="tx1"/>
            </w14:solidFill>
          </w14:textFill>
        </w:rPr>
        <w:t>内</w:t>
      </w:r>
      <w:r>
        <w:rPr>
          <w:rFonts w:hint="eastAsia" w:eastAsia="仿宋_GB2312"/>
          <w:color w:val="000000" w:themeColor="text1"/>
          <w:kern w:val="0"/>
          <w:szCs w:val="32"/>
          <w:highlight w:val="none"/>
          <w14:textFill>
            <w14:solidFill>
              <w14:schemeClr w14:val="tx1"/>
            </w14:solidFill>
          </w14:textFill>
        </w:rPr>
        <w:t>通过承包人向监理人和发包人申报《工程签证完成确认表》，并附签证指令、完成验收确认资料、签证完成费用等资料。签证手续不完整、不及时的，发包人不予认可，不能作为结算依据；签证手续不得补办，若分包人在变更发生后超过15天（经发包人同意的特殊事项可相应延长15天）仍未办理签证申请，视为自动放弃此部分权利，费用增加部分结算时不再计取，费用减少部分经发包人核定后结算时予以扣减。同时</w:t>
      </w:r>
      <w:r>
        <w:rPr>
          <w:rFonts w:eastAsia="仿宋_GB2312"/>
          <w:color w:val="000000" w:themeColor="text1"/>
          <w:kern w:val="0"/>
          <w:szCs w:val="32"/>
          <w:highlight w:val="none"/>
          <w14:textFill>
            <w14:solidFill>
              <w14:schemeClr w14:val="tx1"/>
            </w14:solidFill>
          </w14:textFill>
        </w:rPr>
        <w:t>,分包人每延迟1</w:t>
      </w:r>
      <w:r>
        <w:rPr>
          <w:rFonts w:hint="eastAsia" w:eastAsia="仿宋_GB2312"/>
          <w:color w:val="000000" w:themeColor="text1"/>
          <w:kern w:val="0"/>
          <w:szCs w:val="32"/>
          <w:highlight w:val="none"/>
          <w14:textFill>
            <w14:solidFill>
              <w14:schemeClr w14:val="tx1"/>
            </w14:solidFill>
          </w14:textFill>
        </w:rPr>
        <w:t>天申报完成确认的</w:t>
      </w:r>
      <w:r>
        <w:rPr>
          <w:rFonts w:eastAsia="仿宋_GB2312"/>
          <w:color w:val="000000" w:themeColor="text1"/>
          <w:kern w:val="0"/>
          <w:szCs w:val="32"/>
          <w:highlight w:val="none"/>
          <w14:textFill>
            <w14:solidFill>
              <w14:schemeClr w14:val="tx1"/>
            </w14:solidFill>
          </w14:textFill>
        </w:rPr>
        <w:t>,按</w:t>
      </w:r>
      <w:r>
        <w:rPr>
          <w:rFonts w:hint="eastAsia" w:eastAsia="仿宋_GB2312"/>
          <w:color w:val="000000" w:themeColor="text1"/>
          <w:kern w:val="0"/>
          <w:szCs w:val="32"/>
          <w:highlight w:val="none"/>
          <w:u w:val="single"/>
          <w14:textFill>
            <w14:solidFill>
              <w14:schemeClr w14:val="tx1"/>
            </w14:solidFill>
          </w14:textFill>
        </w:rPr>
        <w:t>3000元/（天.单）</w:t>
      </w:r>
      <w:r>
        <w:rPr>
          <w:rFonts w:eastAsia="仿宋_GB2312"/>
          <w:color w:val="000000" w:themeColor="text1"/>
          <w:kern w:val="0"/>
          <w:szCs w:val="32"/>
          <w:highlight w:val="none"/>
          <w14:textFill>
            <w14:solidFill>
              <w14:schemeClr w14:val="tx1"/>
            </w14:solidFill>
          </w14:textFill>
        </w:rPr>
        <w:t>承担违约金,</w:t>
      </w:r>
      <w:r>
        <w:rPr>
          <w:rFonts w:hint="eastAsia" w:eastAsia="仿宋_GB2312"/>
          <w:color w:val="000000" w:themeColor="text1"/>
          <w:kern w:val="0"/>
          <w:szCs w:val="32"/>
          <w:highlight w:val="none"/>
          <w14:textFill>
            <w14:solidFill>
              <w14:schemeClr w14:val="tx1"/>
            </w14:solidFill>
          </w14:textFill>
        </w:rPr>
        <w:t>违约金上限</w:t>
      </w:r>
      <w:r>
        <w:rPr>
          <w:rFonts w:eastAsia="仿宋_GB2312"/>
          <w:color w:val="000000" w:themeColor="text1"/>
          <w:kern w:val="0"/>
          <w:szCs w:val="32"/>
          <w:highlight w:val="none"/>
          <w14:textFill>
            <w14:solidFill>
              <w14:schemeClr w14:val="tx1"/>
            </w14:solidFill>
          </w14:textFill>
        </w:rPr>
        <w:t>为</w:t>
      </w:r>
      <w:r>
        <w:rPr>
          <w:rFonts w:hint="eastAsia" w:eastAsia="仿宋_GB2312"/>
          <w:color w:val="000000" w:themeColor="text1"/>
          <w:kern w:val="0"/>
          <w:szCs w:val="32"/>
          <w:highlight w:val="none"/>
          <w14:textFill>
            <w14:solidFill>
              <w14:schemeClr w14:val="tx1"/>
            </w14:solidFill>
          </w14:textFill>
        </w:rPr>
        <w:t>分包人自动放弃的签证增加费用</w:t>
      </w:r>
      <w:r>
        <w:rPr>
          <w:rFonts w:eastAsia="仿宋_GB2312"/>
          <w:color w:val="000000" w:themeColor="text1"/>
          <w:kern w:val="0"/>
          <w:szCs w:val="32"/>
          <w:highlight w:val="none"/>
          <w14:textFill>
            <w14:solidFill>
              <w14:schemeClr w14:val="tx1"/>
            </w14:solidFill>
          </w14:textFill>
        </w:rPr>
        <w:t>。</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7）由于承包人根据预埋图纸现场实际预留的机电孔洞与分包人实际施工的专业工程图纸不符时，由分包人牵头组织查找、核验差异原因并提出解决建议书面报告承包人、发包人与监理人，若非分包人原因导致的差异而需分包人发生打凿和修补，该部分产生的费用按合同关于工程签证的相关约定予以确认及计量。</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ascii="仿宋_GB2312" w:hAnsi="仿宋" w:eastAsia="仿宋_GB2312"/>
          <w:color w:val="000000" w:themeColor="text1"/>
          <w:szCs w:val="21"/>
          <w:highlight w:val="none"/>
          <w14:textFill>
            <w14:solidFill>
              <w14:schemeClr w14:val="tx1"/>
            </w14:solidFill>
          </w14:textFill>
        </w:rPr>
        <w:t>8</w:t>
      </w:r>
      <w:r>
        <w:rPr>
          <w:rFonts w:hint="eastAsia" w:ascii="仿宋_GB2312" w:hAnsi="仿宋" w:eastAsia="仿宋_GB2312"/>
          <w:color w:val="000000" w:themeColor="text1"/>
          <w:szCs w:val="21"/>
          <w:highlight w:val="none"/>
          <w14:textFill>
            <w14:solidFill>
              <w14:schemeClr w14:val="tx1"/>
            </w14:solidFill>
          </w14:textFill>
        </w:rPr>
        <w:t>）</w:t>
      </w:r>
      <w:r>
        <w:rPr>
          <w:rFonts w:hint="eastAsia" w:eastAsia="仿宋_GB2312"/>
          <w:color w:val="000000" w:themeColor="text1"/>
          <w:kern w:val="0"/>
          <w:szCs w:val="32"/>
          <w:highlight w:val="none"/>
          <w14:textFill>
            <w14:solidFill>
              <w14:schemeClr w14:val="tx1"/>
            </w14:solidFill>
          </w14:textFill>
        </w:rPr>
        <w:t>分包人须按专用条款第1</w:t>
      </w:r>
      <w:r>
        <w:rPr>
          <w:rFonts w:eastAsia="仿宋_GB2312"/>
          <w:color w:val="000000" w:themeColor="text1"/>
          <w:kern w:val="0"/>
          <w:szCs w:val="32"/>
          <w:highlight w:val="none"/>
          <w14:textFill>
            <w14:solidFill>
              <w14:schemeClr w14:val="tx1"/>
            </w14:solidFill>
          </w14:textFill>
        </w:rPr>
        <w:t>5条相关要求及时申报</w:t>
      </w:r>
      <w:r>
        <w:rPr>
          <w:rFonts w:hint="eastAsia" w:eastAsia="仿宋_GB2312"/>
          <w:color w:val="000000" w:themeColor="text1"/>
          <w:kern w:val="0"/>
          <w:szCs w:val="32"/>
          <w:highlight w:val="none"/>
          <w14:textFill>
            <w14:solidFill>
              <w14:schemeClr w14:val="tx1"/>
            </w14:solidFill>
          </w14:textFill>
        </w:rPr>
        <w:t>变</w:t>
      </w:r>
      <w:r>
        <w:rPr>
          <w:rFonts w:eastAsia="仿宋_GB2312"/>
          <w:color w:val="000000" w:themeColor="text1"/>
          <w:kern w:val="0"/>
          <w:szCs w:val="32"/>
          <w:highlight w:val="none"/>
          <w14:textFill>
            <w14:solidFill>
              <w14:schemeClr w14:val="tx1"/>
            </w14:solidFill>
          </w14:textFill>
        </w:rPr>
        <w:t>更申请与变更完成确认资料</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并按设计变更</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现场签证</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其他变更类别建立变更台账</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载明变更编号</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变更事项</w:t>
      </w:r>
      <w:r>
        <w:rPr>
          <w:rFonts w:hint="eastAsia" w:eastAsia="仿宋_GB2312"/>
          <w:color w:val="000000" w:themeColor="text1"/>
          <w:kern w:val="0"/>
          <w:szCs w:val="32"/>
          <w:highlight w:val="none"/>
          <w14:textFill>
            <w14:solidFill>
              <w14:schemeClr w14:val="tx1"/>
            </w14:solidFill>
          </w14:textFill>
        </w:rPr>
        <w:t>、变更原因、变更实施与完成日期、</w:t>
      </w:r>
      <w:r>
        <w:rPr>
          <w:rFonts w:eastAsia="仿宋_GB2312"/>
          <w:color w:val="000000" w:themeColor="text1"/>
          <w:kern w:val="0"/>
          <w:szCs w:val="32"/>
          <w:highlight w:val="none"/>
          <w14:textFill>
            <w14:solidFill>
              <w14:schemeClr w14:val="tx1"/>
            </w14:solidFill>
          </w14:textFill>
        </w:rPr>
        <w:t>变更金额</w:t>
      </w:r>
      <w:r>
        <w:rPr>
          <w:rFonts w:hint="eastAsia" w:eastAsia="仿宋_GB2312"/>
          <w:color w:val="000000" w:themeColor="text1"/>
          <w:kern w:val="0"/>
          <w:szCs w:val="32"/>
          <w:highlight w:val="none"/>
          <w14:textFill>
            <w14:solidFill>
              <w14:schemeClr w14:val="tx1"/>
            </w14:solidFill>
          </w14:textFill>
        </w:rPr>
        <w:t>、变更依据等。分包人应在每月</w:t>
      </w:r>
      <w:r>
        <w:rPr>
          <w:rFonts w:eastAsia="仿宋_GB2312"/>
          <w:color w:val="000000" w:themeColor="text1"/>
          <w:kern w:val="0"/>
          <w:szCs w:val="32"/>
          <w:highlight w:val="none"/>
          <w14:textFill>
            <w14:solidFill>
              <w14:schemeClr w14:val="tx1"/>
            </w14:solidFill>
          </w14:textFill>
        </w:rPr>
        <w:t>20日前将上月的变更台账通过承包人报至监理</w:t>
      </w:r>
      <w:r>
        <w:rPr>
          <w:rFonts w:hint="eastAsia" w:eastAsia="仿宋_GB2312"/>
          <w:color w:val="000000" w:themeColor="text1"/>
          <w:kern w:val="0"/>
          <w:szCs w:val="32"/>
          <w:highlight w:val="none"/>
          <w14:textFill>
            <w14:solidFill>
              <w14:schemeClr w14:val="tx1"/>
            </w14:solidFill>
          </w14:textFill>
        </w:rPr>
        <w:t>人、</w:t>
      </w:r>
      <w:r>
        <w:rPr>
          <w:rFonts w:eastAsia="仿宋_GB2312"/>
          <w:color w:val="000000" w:themeColor="text1"/>
          <w:kern w:val="0"/>
          <w:szCs w:val="32"/>
          <w:highlight w:val="none"/>
          <w14:textFill>
            <w14:solidFill>
              <w14:schemeClr w14:val="tx1"/>
            </w14:solidFill>
          </w14:textFill>
        </w:rPr>
        <w:t>发包人并与发包人核对台账</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但监理</w:t>
      </w:r>
      <w:r>
        <w:rPr>
          <w:rFonts w:hint="eastAsia" w:eastAsia="仿宋_GB2312"/>
          <w:color w:val="000000" w:themeColor="text1"/>
          <w:kern w:val="0"/>
          <w:szCs w:val="32"/>
          <w:highlight w:val="none"/>
          <w14:textFill>
            <w14:solidFill>
              <w14:schemeClr w14:val="tx1"/>
            </w14:solidFill>
          </w14:textFill>
        </w:rPr>
        <w:t>人、</w:t>
      </w:r>
      <w:r>
        <w:rPr>
          <w:rFonts w:eastAsia="仿宋_GB2312"/>
          <w:color w:val="000000" w:themeColor="text1"/>
          <w:kern w:val="0"/>
          <w:szCs w:val="32"/>
          <w:highlight w:val="none"/>
          <w14:textFill>
            <w14:solidFill>
              <w14:schemeClr w14:val="tx1"/>
            </w14:solidFill>
          </w14:textFill>
        </w:rPr>
        <w:t>发包人收到分包人变更台账的</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并不视为对变更事项或金额的确认</w:t>
      </w:r>
      <w:r>
        <w:rPr>
          <w:rFonts w:hint="eastAsia" w:eastAsia="仿宋_GB2312"/>
          <w:color w:val="000000" w:themeColor="text1"/>
          <w:kern w:val="0"/>
          <w:szCs w:val="32"/>
          <w:highlight w:val="none"/>
          <w14:textFill>
            <w14:solidFill>
              <w14:schemeClr w14:val="tx1"/>
            </w14:solidFill>
          </w14:textFill>
        </w:rPr>
        <w:t>；若分包人未及时向监理人、发包人抄报变更台账或台账存在严重质量问题或不配合核对台账的，视情节严重程度，分包人应向承包人按</w:t>
      </w:r>
      <w:r>
        <w:rPr>
          <w:rFonts w:eastAsia="仿宋_GB2312"/>
          <w:color w:val="000000" w:themeColor="text1"/>
          <w:kern w:val="0"/>
          <w:szCs w:val="32"/>
          <w:highlight w:val="none"/>
          <w14:textFill>
            <w14:solidFill>
              <w14:schemeClr w14:val="tx1"/>
            </w14:solidFill>
          </w14:textFill>
        </w:rPr>
        <w:t>500</w:t>
      </w:r>
      <w:r>
        <w:rPr>
          <w:rFonts w:hint="eastAsia" w:eastAsia="仿宋_GB2312"/>
          <w:color w:val="000000" w:themeColor="text1"/>
          <w:kern w:val="0"/>
          <w:szCs w:val="32"/>
          <w:highlight w:val="none"/>
          <w14:textFill>
            <w14:solidFill>
              <w14:schemeClr w14:val="tx1"/>
            </w14:solidFill>
          </w14:textFill>
        </w:rPr>
        <w:t>~</w:t>
      </w:r>
      <w:r>
        <w:rPr>
          <w:rFonts w:eastAsia="仿宋_GB2312"/>
          <w:color w:val="000000" w:themeColor="text1"/>
          <w:kern w:val="0"/>
          <w:szCs w:val="32"/>
          <w:highlight w:val="none"/>
          <w14:textFill>
            <w14:solidFill>
              <w14:schemeClr w14:val="tx1"/>
            </w14:solidFill>
          </w14:textFill>
        </w:rPr>
        <w:t>5000元</w:t>
      </w:r>
      <w:r>
        <w:rPr>
          <w:rFonts w:hint="eastAsia" w:eastAsia="仿宋_GB2312"/>
          <w:color w:val="000000" w:themeColor="text1"/>
          <w:kern w:val="0"/>
          <w:szCs w:val="32"/>
          <w:highlight w:val="none"/>
          <w14:textFill>
            <w14:solidFill>
              <w14:schemeClr w14:val="tx1"/>
            </w14:solidFill>
          </w14:textFill>
        </w:rPr>
        <w:t>/次支付违约金。</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9</w:t>
      </w:r>
      <w:r>
        <w:rPr>
          <w:rFonts w:hint="eastAsia" w:eastAsia="仿宋_GB2312"/>
          <w:color w:val="000000" w:themeColor="text1"/>
          <w:kern w:val="0"/>
          <w:szCs w:val="32"/>
          <w:highlight w:val="none"/>
          <w14:textFill>
            <w14:solidFill>
              <w14:schemeClr w14:val="tx1"/>
            </w14:solidFill>
          </w14:textFill>
        </w:rPr>
        <w:t>）监理单位、发包人代表或发包人现场工程师签署的现场确认变更资料应真实反映现场已完成的实际情况，营造做法内容完整、记录真实、说明详尽、文字表述无异议、图示尺寸准确。该类现场签署确认的变更资料，仅表明对实际发生事实的确认，变更计量计价原则应严格执行合同相关约定 。</w:t>
      </w:r>
    </w:p>
    <w:p>
      <w:pPr>
        <w:spacing w:line="360" w:lineRule="auto"/>
        <w:ind w:firstLine="480" w:firstLineChars="200"/>
        <w:rPr>
          <w:rFonts w:eastAsia="仿宋_GB2312"/>
          <w:color w:val="000000" w:themeColor="text1"/>
          <w:kern w:val="0"/>
          <w:szCs w:val="32"/>
          <w:highlight w:val="none"/>
          <w14:textFill>
            <w14:solidFill>
              <w14:schemeClr w14:val="tx1"/>
            </w14:solidFill>
          </w14:textFill>
        </w:rPr>
      </w:pPr>
      <w:r>
        <w:rPr>
          <w:rFonts w:hint="eastAsia" w:ascii="Times New Roman" w:hAnsi="Times New Roman" w:eastAsia="黑体"/>
          <w:bCs/>
          <w:color w:val="000000" w:themeColor="text1"/>
          <w:sz w:val="24"/>
          <w:szCs w:val="32"/>
          <w:highlight w:val="none"/>
          <w14:textFill>
            <w14:solidFill>
              <w14:schemeClr w14:val="tx1"/>
            </w14:solidFill>
          </w14:textFill>
        </w:rPr>
        <w:t>1</w:t>
      </w:r>
      <w:r>
        <w:rPr>
          <w:rFonts w:ascii="Times New Roman" w:hAnsi="Times New Roman" w:eastAsia="黑体"/>
          <w:bCs/>
          <w:color w:val="000000" w:themeColor="text1"/>
          <w:sz w:val="24"/>
          <w:szCs w:val="32"/>
          <w:highlight w:val="none"/>
          <w14:textFill>
            <w14:solidFill>
              <w14:schemeClr w14:val="tx1"/>
            </w14:solidFill>
          </w14:textFill>
        </w:rPr>
        <w:t xml:space="preserve">5.4. </w:t>
      </w:r>
      <w:r>
        <w:rPr>
          <w:rFonts w:hint="eastAsia" w:ascii="Times New Roman" w:hAnsi="Times New Roman" w:eastAsia="黑体"/>
          <w:bCs/>
          <w:color w:val="000000" w:themeColor="text1"/>
          <w:sz w:val="24"/>
          <w:szCs w:val="32"/>
          <w:highlight w:val="none"/>
          <w14:textFill>
            <w14:solidFill>
              <w14:schemeClr w14:val="tx1"/>
            </w14:solidFill>
          </w14:textFill>
        </w:rPr>
        <w:t>不予办理变更或签证的情形</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下列情形的工作内容不予办理工程变更或工程签证：</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1）招标文件及施工合同约定或已包括在合同价款内应由分包人自行承担的；</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2）分包人在投标文件中承诺自行承担的或投标时应预见的风险；</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3）非发包人原因，分包人为了便于组织施工需采取的技术措施的变更或临时工程变更；</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4）由分包人责任造成的工程量增加；</w:t>
      </w:r>
    </w:p>
    <w:p>
      <w:pPr>
        <w:spacing w:line="360" w:lineRule="auto"/>
        <w:ind w:firstLine="420" w:firstLineChars="200"/>
        <w:jc w:val="left"/>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5）法律、法规、规章规定不能办理的。</w:t>
      </w:r>
    </w:p>
    <w:p>
      <w:pPr>
        <w:pStyle w:val="73"/>
        <w:rPr>
          <w:color w:val="000000" w:themeColor="text1"/>
          <w:highlight w:val="none"/>
          <w14:textFill>
            <w14:solidFill>
              <w14:schemeClr w14:val="tx1"/>
            </w14:solidFill>
          </w14:textFill>
        </w:rPr>
      </w:pPr>
      <w:bookmarkStart w:id="770" w:name="_Toc24599"/>
      <w:bookmarkStart w:id="771" w:name="_Toc38987285"/>
      <w:bookmarkStart w:id="772" w:name="_Toc27433"/>
      <w:bookmarkStart w:id="773" w:name="_Toc44228168"/>
      <w:bookmarkStart w:id="774" w:name="_Toc5484"/>
      <w:bookmarkStart w:id="775" w:name="_Toc44492600"/>
      <w:bookmarkStart w:id="776" w:name="_Toc91082450"/>
      <w:r>
        <w:rPr>
          <w:rFonts w:hint="eastAsia"/>
          <w:color w:val="000000" w:themeColor="text1"/>
          <w:highlight w:val="none"/>
          <w14:textFill>
            <w14:solidFill>
              <w14:schemeClr w14:val="tx1"/>
            </w14:solidFill>
          </w14:textFill>
        </w:rPr>
        <w:t>16.价格调整</w:t>
      </w:r>
      <w:bookmarkEnd w:id="770"/>
      <w:bookmarkEnd w:id="771"/>
      <w:bookmarkEnd w:id="772"/>
      <w:bookmarkEnd w:id="773"/>
      <w:bookmarkEnd w:id="774"/>
      <w:bookmarkEnd w:id="775"/>
      <w:bookmarkEnd w:id="776"/>
    </w:p>
    <w:p>
      <w:pPr>
        <w:pStyle w:val="77"/>
        <w:ind w:firstLine="480"/>
        <w:rPr>
          <w:rFonts w:eastAsia="仿宋_GB2312"/>
          <w:bCs w:val="0"/>
          <w:color w:val="000000" w:themeColor="text1"/>
          <w:kern w:val="0"/>
          <w:sz w:val="21"/>
          <w:highlight w:val="none"/>
          <w14:textFill>
            <w14:solidFill>
              <w14:schemeClr w14:val="tx1"/>
            </w14:solidFill>
          </w14:textFill>
        </w:rPr>
      </w:pPr>
      <w:bookmarkStart w:id="777" w:name="_Toc615"/>
      <w:bookmarkStart w:id="778" w:name="_Toc44492601"/>
      <w:bookmarkStart w:id="779" w:name="_Toc1376"/>
      <w:r>
        <w:rPr>
          <w:rFonts w:hint="eastAsia"/>
          <w:color w:val="000000" w:themeColor="text1"/>
          <w:highlight w:val="none"/>
          <w14:textFill>
            <w14:solidFill>
              <w14:schemeClr w14:val="tx1"/>
            </w14:solidFill>
          </w14:textFill>
        </w:rPr>
        <w:t>16.1 物价波动引起的价格调整</w:t>
      </w:r>
      <w:bookmarkEnd w:id="777"/>
      <w:bookmarkEnd w:id="778"/>
      <w:bookmarkEnd w:id="779"/>
      <w:r>
        <w:rPr>
          <w:rFonts w:hint="eastAsia"/>
          <w:color w:val="000000" w:themeColor="text1"/>
          <w:highlight w:val="none"/>
          <w14:textFill>
            <w14:solidFill>
              <w14:schemeClr w14:val="tx1"/>
            </w14:solidFill>
          </w14:textFill>
        </w:rPr>
        <w:t>：</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16.1.1本合同中的“信息价”是指广州市建设工程造价管理站发布的“****年****月广州市部分原材料、材料市场价格信息”中“电解铜（平水铜）”的市场价格。</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16.1.2本工程约定可调价材料价差仅计取税金。</w:t>
      </w:r>
    </w:p>
    <w:p>
      <w:pPr>
        <w:widowControl/>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16.1.3 本工程可调价材料为电缆、母线槽的“铜”金属材料，人工、机械及其他材料等物价波动引起的价格风险已包含在本合同价格中，不因物价波动因素而调整合同价款。</w:t>
      </w:r>
    </w:p>
    <w:p>
      <w:pPr>
        <w:widowControl/>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16.1.4 价格</w:t>
      </w:r>
      <w:r>
        <w:rPr>
          <w:rFonts w:eastAsia="仿宋_GB2312"/>
          <w:color w:val="000000" w:themeColor="text1"/>
          <w:kern w:val="0"/>
          <w:szCs w:val="32"/>
          <w:highlight w:val="none"/>
          <w14:textFill>
            <w14:solidFill>
              <w14:schemeClr w14:val="tx1"/>
            </w14:solidFill>
          </w14:textFill>
        </w:rPr>
        <w:t>调整方法</w:t>
      </w:r>
    </w:p>
    <w:p>
      <w:pPr>
        <w:widowControl/>
        <w:spacing w:line="360" w:lineRule="auto"/>
        <w:ind w:firstLine="422" w:firstLineChars="200"/>
        <w:rPr>
          <w:rFonts w:eastAsia="仿宋_GB2312"/>
          <w:b/>
          <w:color w:val="000000" w:themeColor="text1"/>
          <w:kern w:val="0"/>
          <w:szCs w:val="32"/>
          <w:highlight w:val="none"/>
          <w14:textFill>
            <w14:solidFill>
              <w14:schemeClr w14:val="tx1"/>
            </w14:solidFill>
          </w14:textFill>
        </w:rPr>
      </w:pPr>
      <w:r>
        <w:rPr>
          <w:rFonts w:hint="eastAsia" w:eastAsia="仿宋_GB2312"/>
          <w:b/>
          <w:color w:val="000000" w:themeColor="text1"/>
          <w:kern w:val="0"/>
          <w:szCs w:val="32"/>
          <w:highlight w:val="none"/>
          <w14:textFill>
            <w14:solidFill>
              <w14:schemeClr w14:val="tx1"/>
            </w14:solidFill>
          </w14:textFill>
        </w:rPr>
        <w:t>（1）基准月：为</w:t>
      </w:r>
      <w:r>
        <w:rPr>
          <w:rFonts w:hint="eastAsia" w:eastAsia="仿宋_GB2312"/>
          <w:b/>
          <w:color w:val="000000" w:themeColor="text1"/>
          <w:kern w:val="0"/>
          <w:szCs w:val="32"/>
          <w:highlight w:val="none"/>
          <w:u w:val="single"/>
          <w14:textFill>
            <w14:solidFill>
              <w14:schemeClr w14:val="tx1"/>
            </w14:solidFill>
          </w14:textFill>
        </w:rPr>
        <w:t>2023</w:t>
      </w:r>
      <w:r>
        <w:rPr>
          <w:rFonts w:eastAsia="仿宋_GB2312"/>
          <w:b/>
          <w:color w:val="000000" w:themeColor="text1"/>
          <w:kern w:val="0"/>
          <w:szCs w:val="32"/>
          <w:highlight w:val="none"/>
          <w:u w:val="single"/>
          <w14:textFill>
            <w14:solidFill>
              <w14:schemeClr w14:val="tx1"/>
            </w14:solidFill>
          </w14:textFill>
        </w:rPr>
        <w:t>年</w:t>
      </w:r>
      <w:r>
        <w:rPr>
          <w:rFonts w:hint="eastAsia" w:eastAsia="仿宋_GB2312"/>
          <w:b/>
          <w:color w:val="000000" w:themeColor="text1"/>
          <w:kern w:val="0"/>
          <w:szCs w:val="32"/>
          <w:highlight w:val="none"/>
          <w:u w:val="single"/>
          <w14:textFill>
            <w14:solidFill>
              <w14:schemeClr w14:val="tx1"/>
            </w14:solidFill>
          </w14:textFill>
        </w:rPr>
        <w:t>6</w:t>
      </w:r>
      <w:r>
        <w:rPr>
          <w:rFonts w:eastAsia="仿宋_GB2312"/>
          <w:b/>
          <w:color w:val="000000" w:themeColor="text1"/>
          <w:kern w:val="0"/>
          <w:szCs w:val="32"/>
          <w:highlight w:val="none"/>
          <w:u w:val="single"/>
          <w14:textFill>
            <w14:solidFill>
              <w14:schemeClr w14:val="tx1"/>
            </w14:solidFill>
          </w14:textFill>
        </w:rPr>
        <w:t>月</w:t>
      </w:r>
      <w:r>
        <w:rPr>
          <w:rFonts w:hint="eastAsia" w:eastAsia="仿宋_GB2312"/>
          <w:b/>
          <w:color w:val="000000" w:themeColor="text1"/>
          <w:kern w:val="0"/>
          <w:szCs w:val="32"/>
          <w:highlight w:val="none"/>
          <w14:textFill>
            <w14:solidFill>
              <w14:schemeClr w14:val="tx1"/>
            </w14:solidFill>
          </w14:textFill>
        </w:rPr>
        <w:t>。</w:t>
      </w:r>
    </w:p>
    <w:p>
      <w:pPr>
        <w:widowControl/>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w:t>
      </w:r>
      <w:r>
        <w:rPr>
          <w:rFonts w:hint="eastAsia" w:eastAsia="仿宋_GB2312"/>
          <w:color w:val="000000" w:themeColor="text1"/>
          <w:kern w:val="0"/>
          <w:szCs w:val="32"/>
          <w:highlight w:val="none"/>
          <w14:textFill>
            <w14:solidFill>
              <w14:schemeClr w14:val="tx1"/>
            </w14:solidFill>
          </w14:textFill>
        </w:rPr>
        <w:t>基准价为基准月的信息价。</w:t>
      </w:r>
    </w:p>
    <w:p>
      <w:pPr>
        <w:widowControl/>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（3）锁价期调差计算办法：视为分包人在</w:t>
      </w:r>
      <w:r>
        <w:rPr>
          <w:rFonts w:hint="eastAsia" w:eastAsia="仿宋_GB2312"/>
          <w:color w:val="000000" w:themeColor="text1"/>
          <w:kern w:val="0"/>
          <w:szCs w:val="32"/>
          <w:highlight w:val="none"/>
          <w:u w:val="single"/>
          <w14:textFill>
            <w14:solidFill>
              <w14:schemeClr w14:val="tx1"/>
            </w14:solidFill>
          </w14:textFill>
        </w:rPr>
        <w:t>中标通知书下发后第三个月内完成对电缆、母线槽锁价，</w:t>
      </w:r>
      <w:r>
        <w:rPr>
          <w:rFonts w:hint="eastAsia" w:eastAsia="仿宋_GB2312"/>
          <w:color w:val="000000" w:themeColor="text1"/>
          <w:kern w:val="0"/>
          <w:szCs w:val="32"/>
          <w:highlight w:val="none"/>
          <w14:textFill>
            <w14:solidFill>
              <w14:schemeClr w14:val="tx1"/>
            </w14:solidFill>
          </w14:textFill>
        </w:rPr>
        <w:t>锁价期为中标通知书下发后第三个月，</w:t>
      </w:r>
      <w:r>
        <w:rPr>
          <w:rFonts w:hint="eastAsia" w:eastAsia="仿宋_GB2312"/>
          <w:color w:val="000000" w:themeColor="text1"/>
          <w:kern w:val="0"/>
          <w:szCs w:val="32"/>
          <w:highlight w:val="none"/>
          <w:u w:val="single"/>
          <w14:textFill>
            <w14:solidFill>
              <w14:schemeClr w14:val="tx1"/>
            </w14:solidFill>
          </w14:textFill>
        </w:rPr>
        <w:t>则锁价</w:t>
      </w:r>
      <w:r>
        <w:rPr>
          <w:rFonts w:hint="eastAsia" w:eastAsia="仿宋_GB2312"/>
          <w:color w:val="000000" w:themeColor="text1"/>
          <w:kern w:val="0"/>
          <w:szCs w:val="32"/>
          <w:highlight w:val="none"/>
          <w14:textFill>
            <w14:solidFill>
              <w14:schemeClr w14:val="tx1"/>
            </w14:solidFill>
          </w14:textFill>
        </w:rPr>
        <w:t>期</w:t>
      </w:r>
      <w:r>
        <w:rPr>
          <w:rFonts w:hint="eastAsia" w:eastAsia="仿宋_GB2312"/>
          <w:color w:val="000000" w:themeColor="text1"/>
          <w:kern w:val="0"/>
          <w:szCs w:val="32"/>
          <w:highlight w:val="none"/>
          <w:u w:val="single"/>
          <w14:textFill>
            <w14:solidFill>
              <w14:schemeClr w14:val="tx1"/>
            </w14:solidFill>
          </w14:textFill>
        </w:rPr>
        <w:t>当月的信息价作为锁价期信息价，</w:t>
      </w:r>
      <w:r>
        <w:rPr>
          <w:rFonts w:eastAsia="仿宋_GB2312"/>
          <w:color w:val="000000" w:themeColor="text1"/>
          <w:kern w:val="0"/>
          <w:szCs w:val="32"/>
          <w:highlight w:val="none"/>
          <w:u w:val="single"/>
          <w14:textFill>
            <w14:solidFill>
              <w14:schemeClr w14:val="tx1"/>
            </w14:solidFill>
          </w14:textFill>
        </w:rPr>
        <w:t>可调价材料的</w:t>
      </w:r>
      <w:r>
        <w:rPr>
          <w:rFonts w:hint="eastAsia" w:eastAsia="仿宋_GB2312"/>
          <w:color w:val="000000" w:themeColor="text1"/>
          <w:kern w:val="0"/>
          <w:szCs w:val="32"/>
          <w:highlight w:val="none"/>
          <w:u w:val="single"/>
          <w14:textFill>
            <w14:solidFill>
              <w14:schemeClr w14:val="tx1"/>
            </w14:solidFill>
          </w14:textFill>
        </w:rPr>
        <w:t>锁价期</w:t>
      </w:r>
      <w:r>
        <w:rPr>
          <w:rFonts w:eastAsia="仿宋_GB2312"/>
          <w:color w:val="000000" w:themeColor="text1"/>
          <w:kern w:val="0"/>
          <w:szCs w:val="32"/>
          <w:highlight w:val="none"/>
          <w:u w:val="single"/>
          <w14:textFill>
            <w14:solidFill>
              <w14:schemeClr w14:val="tx1"/>
            </w14:solidFill>
          </w14:textFill>
        </w:rPr>
        <w:t>信息价</w:t>
      </w:r>
      <w:r>
        <w:rPr>
          <w:rFonts w:hint="eastAsia" w:eastAsia="仿宋_GB2312"/>
          <w:color w:val="000000" w:themeColor="text1"/>
          <w:kern w:val="0"/>
          <w:szCs w:val="32"/>
          <w:highlight w:val="none"/>
          <w:u w:val="single"/>
          <w14:textFill>
            <w14:solidFill>
              <w14:schemeClr w14:val="tx1"/>
            </w14:solidFill>
          </w14:textFill>
        </w:rPr>
        <w:t>与基准价相比，</w:t>
      </w:r>
      <w:r>
        <w:rPr>
          <w:rFonts w:eastAsia="仿宋_GB2312"/>
          <w:color w:val="000000" w:themeColor="text1"/>
          <w:kern w:val="0"/>
          <w:szCs w:val="32"/>
          <w:highlight w:val="none"/>
          <w:u w:val="single"/>
          <w14:textFill>
            <w14:solidFill>
              <w14:schemeClr w14:val="tx1"/>
            </w14:solidFill>
          </w14:textFill>
        </w:rPr>
        <w:t>跌幅在</w:t>
      </w:r>
      <w:r>
        <w:rPr>
          <w:rFonts w:hint="eastAsia" w:ascii="仿宋" w:hAnsi="仿宋" w:eastAsia="仿宋"/>
          <w:color w:val="000000" w:themeColor="text1"/>
          <w:kern w:val="0"/>
          <w:szCs w:val="32"/>
          <w:highlight w:val="none"/>
          <w:u w:val="single"/>
          <w14:textFill>
            <w14:solidFill>
              <w14:schemeClr w14:val="tx1"/>
            </w14:solidFill>
          </w14:textFill>
        </w:rPr>
        <w:t>5</w:t>
      </w:r>
      <w:r>
        <w:rPr>
          <w:rFonts w:hint="eastAsia" w:eastAsia="仿宋_GB2312"/>
          <w:color w:val="000000" w:themeColor="text1"/>
          <w:kern w:val="0"/>
          <w:szCs w:val="32"/>
          <w:highlight w:val="none"/>
          <w:u w:val="single"/>
          <w14:textFill>
            <w14:solidFill>
              <w14:schemeClr w14:val="tx1"/>
            </w14:solidFill>
          </w14:textFill>
        </w:rPr>
        <w:t>%（含本数）或涨幅在    %（按投标承诺填入，但不得低于5%，低于5%按5%）（含本数）以内时，价格涨跌风险分发包双方各自自行承担，合同价格不予调整；当跌幅在5%（不含本数）或涨幅在    %（按投标承诺填入）（不含本数）以外时，超出部分的可调价材料价格涨跌风险由发包人承担。</w:t>
      </w:r>
    </w:p>
    <w:p>
      <w:pPr>
        <w:widowControl/>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u w:val="single"/>
          <w14:textFill>
            <w14:solidFill>
              <w14:schemeClr w14:val="tx1"/>
            </w14:solidFill>
          </w14:textFill>
        </w:rPr>
        <w:t>（4）</w:t>
      </w:r>
      <w:r>
        <w:rPr>
          <w:rFonts w:hint="eastAsia" w:eastAsia="仿宋_GB2312"/>
          <w:color w:val="000000" w:themeColor="text1"/>
          <w:kern w:val="0"/>
          <w:szCs w:val="32"/>
          <w:highlight w:val="none"/>
          <w14:textFill>
            <w14:solidFill>
              <w14:schemeClr w14:val="tx1"/>
            </w14:solidFill>
          </w14:textFill>
        </w:rPr>
        <w:t>锁价期调差支付周期：在最近一期进度款中，随进度款支付比例支付。</w:t>
      </w:r>
    </w:p>
    <w:p>
      <w:pPr>
        <w:widowControl/>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5）分包人原因导致的暂停施工、工期延误导致物价波动引起的全部涨价风险费用由分包人自行承担，合同价格不予调整；分包人原因导致的暂停施工、工期延误导致可调价材料跌价收益归发包人所有，如发生工期延误（即未按合同约定工期节点完成施工的，为工期延误），价格调整办法调整为按当月完成的电缆、母线槽的施工期信息价与基准价相比，</w:t>
      </w:r>
      <w:r>
        <w:rPr>
          <w:rFonts w:eastAsia="仿宋_GB2312"/>
          <w:color w:val="000000" w:themeColor="text1"/>
          <w:kern w:val="0"/>
          <w:szCs w:val="32"/>
          <w:highlight w:val="none"/>
          <w:u w:val="single"/>
          <w14:textFill>
            <w14:solidFill>
              <w14:schemeClr w14:val="tx1"/>
            </w14:solidFill>
          </w14:textFill>
        </w:rPr>
        <w:t>当跌幅度在</w:t>
      </w:r>
      <w:r>
        <w:rPr>
          <w:rFonts w:hint="eastAsia" w:eastAsia="仿宋_GB2312"/>
          <w:color w:val="000000" w:themeColor="text1"/>
          <w:kern w:val="0"/>
          <w:szCs w:val="32"/>
          <w:highlight w:val="none"/>
          <w:u w:val="single"/>
          <w14:textFill>
            <w14:solidFill>
              <w14:schemeClr w14:val="tx1"/>
            </w14:solidFill>
          </w14:textFill>
        </w:rPr>
        <w:t>5%以外时，超过5%跌价风险由分包人承担。如已经支付锁价期调差的，则在最近一期进度款中扣回，不足扣回的，在下一期扣回，如此类推，直至扣完为止。</w:t>
      </w:r>
    </w:p>
    <w:p>
      <w:pPr>
        <w:widowControl/>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16.1.5价格调整计算公式：</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涨价时：调整价差=【（</w:t>
      </w:r>
      <w:r>
        <w:rPr>
          <w:rFonts w:hint="eastAsia" w:eastAsia="仿宋_GB2312"/>
          <w:color w:val="000000" w:themeColor="text1"/>
          <w:kern w:val="0"/>
          <w:szCs w:val="32"/>
          <w:highlight w:val="none"/>
          <w:u w:val="single"/>
          <w14:textFill>
            <w14:solidFill>
              <w14:schemeClr w14:val="tx1"/>
            </w14:solidFill>
          </w14:textFill>
        </w:rPr>
        <w:t>锁价期信息价</w:t>
      </w:r>
      <w:r>
        <w:rPr>
          <w:rFonts w:hint="eastAsia" w:eastAsia="仿宋_GB2312"/>
          <w:color w:val="000000" w:themeColor="text1"/>
          <w:kern w:val="0"/>
          <w:szCs w:val="32"/>
          <w:highlight w:val="none"/>
          <w14:textFill>
            <w14:solidFill>
              <w14:schemeClr w14:val="tx1"/>
            </w14:solidFill>
          </w14:textFill>
        </w:rPr>
        <w:t>－</w:t>
      </w:r>
      <w:r>
        <w:rPr>
          <w:rFonts w:hint="eastAsia" w:eastAsia="仿宋_GB2312"/>
          <w:color w:val="000000" w:themeColor="text1"/>
          <w:kern w:val="0"/>
          <w:szCs w:val="32"/>
          <w:highlight w:val="none"/>
          <w:u w:val="single"/>
          <w14:textFill>
            <w14:solidFill>
              <w14:schemeClr w14:val="tx1"/>
            </w14:solidFill>
          </w14:textFill>
        </w:rPr>
        <w:t>基准</w:t>
      </w:r>
      <w:r>
        <w:rPr>
          <w:rFonts w:hint="eastAsia" w:eastAsia="仿宋_GB2312"/>
          <w:color w:val="000000" w:themeColor="text1"/>
          <w:kern w:val="0"/>
          <w:szCs w:val="32"/>
          <w:highlight w:val="none"/>
          <w14:textFill>
            <w14:solidFill>
              <w14:schemeClr w14:val="tx1"/>
            </w14:solidFill>
          </w14:textFill>
        </w:rPr>
        <w:t>价）/</w:t>
      </w:r>
      <w:r>
        <w:rPr>
          <w:rFonts w:hint="eastAsia" w:eastAsia="仿宋_GB2312"/>
          <w:color w:val="000000" w:themeColor="text1"/>
          <w:kern w:val="0"/>
          <w:szCs w:val="32"/>
          <w:highlight w:val="none"/>
          <w:u w:val="single"/>
          <w14:textFill>
            <w14:solidFill>
              <w14:schemeClr w14:val="tx1"/>
            </w14:solidFill>
          </w14:textFill>
        </w:rPr>
        <w:t>基准</w:t>
      </w:r>
      <w:r>
        <w:rPr>
          <w:rFonts w:hint="eastAsia" w:eastAsia="仿宋_GB2312"/>
          <w:color w:val="000000" w:themeColor="text1"/>
          <w:kern w:val="0"/>
          <w:szCs w:val="32"/>
          <w:highlight w:val="none"/>
          <w14:textFill>
            <w14:solidFill>
              <w14:schemeClr w14:val="tx1"/>
            </w14:solidFill>
          </w14:textFill>
        </w:rPr>
        <w:t>价－   %】*</w:t>
      </w:r>
      <w:r>
        <w:rPr>
          <w:rFonts w:hint="eastAsia" w:eastAsia="仿宋_GB2312"/>
          <w:color w:val="000000" w:themeColor="text1"/>
          <w:kern w:val="0"/>
          <w:szCs w:val="32"/>
          <w:highlight w:val="none"/>
          <w:u w:val="single"/>
          <w14:textFill>
            <w14:solidFill>
              <w14:schemeClr w14:val="tx1"/>
            </w14:solidFill>
          </w14:textFill>
        </w:rPr>
        <w:t>基准</w:t>
      </w:r>
      <w:r>
        <w:rPr>
          <w:rFonts w:hint="eastAsia" w:eastAsia="仿宋_GB2312"/>
          <w:color w:val="000000" w:themeColor="text1"/>
          <w:kern w:val="0"/>
          <w:szCs w:val="32"/>
          <w:highlight w:val="none"/>
          <w14:textFill>
            <w14:solidFill>
              <w14:schemeClr w14:val="tx1"/>
            </w14:solidFill>
          </w14:textFill>
        </w:rPr>
        <w:t>价*工程量*每米铜重量*（1+工程量清单税率）</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降价时：调整价差=【（</w:t>
      </w:r>
      <w:r>
        <w:rPr>
          <w:rFonts w:hint="eastAsia" w:eastAsia="仿宋_GB2312"/>
          <w:color w:val="000000" w:themeColor="text1"/>
          <w:kern w:val="0"/>
          <w:szCs w:val="32"/>
          <w:highlight w:val="none"/>
          <w:u w:val="single"/>
          <w14:textFill>
            <w14:solidFill>
              <w14:schemeClr w14:val="tx1"/>
            </w14:solidFill>
          </w14:textFill>
        </w:rPr>
        <w:t>锁价期信息价</w:t>
      </w:r>
      <w:r>
        <w:rPr>
          <w:rFonts w:hint="eastAsia" w:eastAsia="仿宋_GB2312"/>
          <w:color w:val="000000" w:themeColor="text1"/>
          <w:kern w:val="0"/>
          <w:szCs w:val="32"/>
          <w:highlight w:val="none"/>
          <w14:textFill>
            <w14:solidFill>
              <w14:schemeClr w14:val="tx1"/>
            </w14:solidFill>
          </w14:textFill>
        </w:rPr>
        <w:t>－</w:t>
      </w:r>
      <w:r>
        <w:rPr>
          <w:rFonts w:hint="eastAsia" w:eastAsia="仿宋_GB2312"/>
          <w:color w:val="000000" w:themeColor="text1"/>
          <w:kern w:val="0"/>
          <w:szCs w:val="32"/>
          <w:highlight w:val="none"/>
          <w:u w:val="single"/>
          <w14:textFill>
            <w14:solidFill>
              <w14:schemeClr w14:val="tx1"/>
            </w14:solidFill>
          </w14:textFill>
        </w:rPr>
        <w:t>基准</w:t>
      </w:r>
      <w:r>
        <w:rPr>
          <w:rFonts w:hint="eastAsia" w:eastAsia="仿宋_GB2312"/>
          <w:color w:val="000000" w:themeColor="text1"/>
          <w:kern w:val="0"/>
          <w:szCs w:val="32"/>
          <w:highlight w:val="none"/>
          <w14:textFill>
            <w14:solidFill>
              <w14:schemeClr w14:val="tx1"/>
            </w14:solidFill>
          </w14:textFill>
        </w:rPr>
        <w:t>价）/</w:t>
      </w:r>
      <w:r>
        <w:rPr>
          <w:rFonts w:hint="eastAsia" w:eastAsia="仿宋_GB2312"/>
          <w:color w:val="000000" w:themeColor="text1"/>
          <w:kern w:val="0"/>
          <w:szCs w:val="32"/>
          <w:highlight w:val="none"/>
          <w:u w:val="single"/>
          <w14:textFill>
            <w14:solidFill>
              <w14:schemeClr w14:val="tx1"/>
            </w14:solidFill>
          </w14:textFill>
        </w:rPr>
        <w:t>基准</w:t>
      </w:r>
      <w:r>
        <w:rPr>
          <w:rFonts w:hint="eastAsia" w:eastAsia="仿宋_GB2312"/>
          <w:color w:val="000000" w:themeColor="text1"/>
          <w:kern w:val="0"/>
          <w:szCs w:val="32"/>
          <w:highlight w:val="none"/>
          <w14:textFill>
            <w14:solidFill>
              <w14:schemeClr w14:val="tx1"/>
            </w14:solidFill>
          </w14:textFill>
        </w:rPr>
        <w:t>价+5%】*</w:t>
      </w:r>
      <w:r>
        <w:rPr>
          <w:rFonts w:hint="eastAsia" w:eastAsia="仿宋_GB2312"/>
          <w:color w:val="000000" w:themeColor="text1"/>
          <w:kern w:val="0"/>
          <w:szCs w:val="32"/>
          <w:highlight w:val="none"/>
          <w:u w:val="single"/>
          <w14:textFill>
            <w14:solidFill>
              <w14:schemeClr w14:val="tx1"/>
            </w14:solidFill>
          </w14:textFill>
        </w:rPr>
        <w:t>基准</w:t>
      </w:r>
      <w:r>
        <w:rPr>
          <w:rFonts w:hint="eastAsia" w:eastAsia="仿宋_GB2312"/>
          <w:color w:val="000000" w:themeColor="text1"/>
          <w:kern w:val="0"/>
          <w:szCs w:val="32"/>
          <w:highlight w:val="none"/>
          <w14:textFill>
            <w14:solidFill>
              <w14:schemeClr w14:val="tx1"/>
            </w14:solidFill>
          </w14:textFill>
        </w:rPr>
        <w:t>价*工程量*每米铜重量*（1+工程量清单税率）</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说明：（1）上述公式中的每米铜重量的计算方法为：每米铜重量（单位kg/m）=电缆、母线槽截面积*铜密度/1000，铜密度为8.9吨/m3；</w:t>
      </w:r>
    </w:p>
    <w:p>
      <w:pPr>
        <w:numPr>
          <w:ilvl w:val="255"/>
          <w:numId w:val="0"/>
        </w:num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2）上述公式中的“工程量”的计算方法为：以监理、承包人及发包人书面确认的按施工图计算，以合同约定的工程量计量规则为计算依据计算可调价材料的工程量，不另计损耗，材料损耗的物价波动引起的价格波动风险包含在合同价格中。结算时，按竣工图调整工程量。</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（3）如发生工期延误，</w:t>
      </w:r>
      <w:r>
        <w:rPr>
          <w:rFonts w:hint="eastAsia" w:eastAsia="仿宋_GB2312"/>
          <w:color w:val="000000" w:themeColor="text1"/>
          <w:kern w:val="0"/>
          <w:szCs w:val="32"/>
          <w:highlight w:val="none"/>
          <w14:textFill>
            <w14:solidFill>
              <w14:schemeClr w14:val="tx1"/>
            </w14:solidFill>
          </w14:textFill>
        </w:rPr>
        <w:t>价格调整计算公式如下：调整价差=【（</w:t>
      </w:r>
      <w:r>
        <w:rPr>
          <w:rFonts w:hint="eastAsia" w:eastAsia="仿宋_GB2312"/>
          <w:color w:val="000000" w:themeColor="text1"/>
          <w:kern w:val="0"/>
          <w:szCs w:val="32"/>
          <w:highlight w:val="none"/>
          <w:u w:val="single"/>
          <w14:textFill>
            <w14:solidFill>
              <w14:schemeClr w14:val="tx1"/>
            </w14:solidFill>
          </w14:textFill>
        </w:rPr>
        <w:t>施工期信息价</w:t>
      </w:r>
      <w:r>
        <w:rPr>
          <w:rFonts w:hint="eastAsia" w:eastAsia="仿宋_GB2312"/>
          <w:color w:val="000000" w:themeColor="text1"/>
          <w:kern w:val="0"/>
          <w:szCs w:val="32"/>
          <w:highlight w:val="none"/>
          <w14:textFill>
            <w14:solidFill>
              <w14:schemeClr w14:val="tx1"/>
            </w14:solidFill>
          </w14:textFill>
        </w:rPr>
        <w:t>－</w:t>
      </w:r>
      <w:r>
        <w:rPr>
          <w:rFonts w:hint="eastAsia" w:eastAsia="仿宋_GB2312"/>
          <w:color w:val="000000" w:themeColor="text1"/>
          <w:kern w:val="0"/>
          <w:szCs w:val="32"/>
          <w:highlight w:val="none"/>
          <w:u w:val="single"/>
          <w14:textFill>
            <w14:solidFill>
              <w14:schemeClr w14:val="tx1"/>
            </w14:solidFill>
          </w14:textFill>
        </w:rPr>
        <w:t>基准</w:t>
      </w:r>
      <w:r>
        <w:rPr>
          <w:rFonts w:hint="eastAsia" w:eastAsia="仿宋_GB2312"/>
          <w:color w:val="000000" w:themeColor="text1"/>
          <w:kern w:val="0"/>
          <w:szCs w:val="32"/>
          <w:highlight w:val="none"/>
          <w14:textFill>
            <w14:solidFill>
              <w14:schemeClr w14:val="tx1"/>
            </w14:solidFill>
          </w14:textFill>
        </w:rPr>
        <w:t>价）/</w:t>
      </w:r>
      <w:r>
        <w:rPr>
          <w:rFonts w:hint="eastAsia" w:eastAsia="仿宋_GB2312"/>
          <w:color w:val="000000" w:themeColor="text1"/>
          <w:kern w:val="0"/>
          <w:szCs w:val="32"/>
          <w:highlight w:val="none"/>
          <w:u w:val="single"/>
          <w14:textFill>
            <w14:solidFill>
              <w14:schemeClr w14:val="tx1"/>
            </w14:solidFill>
          </w14:textFill>
        </w:rPr>
        <w:t>基准</w:t>
      </w:r>
      <w:r>
        <w:rPr>
          <w:rFonts w:hint="eastAsia" w:eastAsia="仿宋_GB2312"/>
          <w:color w:val="000000" w:themeColor="text1"/>
          <w:kern w:val="0"/>
          <w:szCs w:val="32"/>
          <w:highlight w:val="none"/>
          <w14:textFill>
            <w14:solidFill>
              <w14:schemeClr w14:val="tx1"/>
            </w14:solidFill>
          </w14:textFill>
        </w:rPr>
        <w:t>价+5%】*</w:t>
      </w:r>
      <w:r>
        <w:rPr>
          <w:rFonts w:hint="eastAsia" w:eastAsia="仿宋_GB2312"/>
          <w:color w:val="000000" w:themeColor="text1"/>
          <w:kern w:val="0"/>
          <w:szCs w:val="32"/>
          <w:highlight w:val="none"/>
          <w:u w:val="single"/>
          <w14:textFill>
            <w14:solidFill>
              <w14:schemeClr w14:val="tx1"/>
            </w14:solidFill>
          </w14:textFill>
        </w:rPr>
        <w:t>基准</w:t>
      </w:r>
      <w:r>
        <w:rPr>
          <w:rFonts w:hint="eastAsia" w:eastAsia="仿宋_GB2312"/>
          <w:color w:val="000000" w:themeColor="text1"/>
          <w:kern w:val="0"/>
          <w:szCs w:val="32"/>
          <w:highlight w:val="none"/>
          <w14:textFill>
            <w14:solidFill>
              <w14:schemeClr w14:val="tx1"/>
            </w14:solidFill>
          </w14:textFill>
        </w:rPr>
        <w:t>价*工程量*每米铜重量*（1+工程量清单税率），工程量为经监理、承包人及发包人书面确认的当月已完成且合格的工程量，工程量按施工图计算，以合同约定的工程量计量规则为计算依据计算，不另计损耗。</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16.1.6其他约定事项： 无 。</w:t>
      </w:r>
    </w:p>
    <w:p>
      <w:pPr>
        <w:pStyle w:val="77"/>
        <w:ind w:firstLine="480"/>
        <w:rPr>
          <w:color w:val="000000" w:themeColor="text1"/>
          <w:highlight w:val="none"/>
          <w14:textFill>
            <w14:solidFill>
              <w14:schemeClr w14:val="tx1"/>
            </w14:solidFill>
          </w14:textFill>
        </w:rPr>
      </w:pPr>
      <w:bookmarkStart w:id="780" w:name="_Toc44492602"/>
      <w:bookmarkStart w:id="781" w:name="_Toc511"/>
      <w:bookmarkStart w:id="782" w:name="_Toc21708"/>
      <w:r>
        <w:rPr>
          <w:rFonts w:hint="eastAsia"/>
          <w:color w:val="000000" w:themeColor="text1"/>
          <w:highlight w:val="none"/>
          <w14:textFill>
            <w14:solidFill>
              <w14:schemeClr w14:val="tx1"/>
            </w14:solidFill>
          </w14:textFill>
        </w:rPr>
        <w:t>16.2价格不予调整的情形</w:t>
      </w:r>
      <w:bookmarkEnd w:id="780"/>
      <w:bookmarkEnd w:id="781"/>
      <w:bookmarkEnd w:id="78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16.2.1 分包人在投标报价时及签订本合同前已对本工程的全部招标文件、工程所在地周围环境、交通道路、现场地质资料、周围地下管网等情况详细研究，投标报价中已按招标文件和合同条款及施工组织设计中的工程承包范围、质量标准、工期、付款条件、临设要求、安全维护、文明施工措施等要求充分考虑了人工、材料、机械、包装运输、施工技术、成品保护、甲供材料保管、设备调试、检验试验、验收、样品、管理、利润、税金并已考虑垃圾排放（包括建筑垃圾）、冬雨季气候条件等价格风险因素（合同约定因物价波动引起的可进行价格调整的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16.2.2任何合同综合单价中对分包人不利的组价不当或差错（包括但不限于工作内容理解的偏差、工料耗量水平的确定、生产要素市场价格的判断、取费等）等，均视为分包人采取投标技巧将相关费用包含在相应的综合单价中，结算时不作调整（合同另有约定的除外）。按独立费计价的项目（即不按定额计价的子目）不在上述调价范围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16.2.3因分包人的成员、雇员、分包人及进入施工现场的其它各方发生的各种事故、异常事件、人身伤害等给分包人造成的任何支出和损失均由分包人承担，分包人不得以此向发包人要求增加费用。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16.2.4 除非发生本合</w:t>
      </w:r>
      <w:r>
        <w:rPr>
          <w:color w:val="000000" w:themeColor="text1"/>
          <w:highlight w:val="none"/>
          <w14:textFill>
            <w14:solidFill>
              <w14:schemeClr w14:val="tx1"/>
            </w14:solidFill>
          </w14:textFill>
        </w:rPr>
        <w:t>同</w:t>
      </w:r>
      <w:r>
        <w:rPr>
          <w:rFonts w:hint="eastAsia"/>
          <w:color w:val="000000" w:themeColor="text1"/>
          <w:highlight w:val="none"/>
          <w14:textFill>
            <w14:solidFill>
              <w14:schemeClr w14:val="tx1"/>
            </w14:solidFill>
          </w14:textFill>
        </w:rPr>
        <w:t>规定的不可抗力事件外，因分包人原因导致的任何支出和损失均由分包人承担，分包人不得以此向发包人要求增加费用。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16.2.5 由分包人负责完成的图纸深化设计、施工组织设计等存在缺陷造成的任何支出，由分包人承担，即使此类内容已经获得发包人的审批。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16.2.6. 发包人提供暂估价（含暂估材料、工程设备价）不适用以上调差约定。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16.2.7 风险费用包括在已标价的工程量及单价清单所列各项目的综合单价及报价中，不得调整。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16.2.8 其他约定事项：</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783" w:name="_Toc22042"/>
      <w:bookmarkStart w:id="784" w:name="_Toc44492603"/>
      <w:bookmarkStart w:id="785" w:name="_Toc30626"/>
      <w:r>
        <w:rPr>
          <w:rFonts w:hint="eastAsia"/>
          <w:color w:val="000000" w:themeColor="text1"/>
          <w:highlight w:val="none"/>
          <w14:textFill>
            <w14:solidFill>
              <w14:schemeClr w14:val="tx1"/>
            </w14:solidFill>
          </w14:textFill>
        </w:rPr>
        <w:t>16.3  价格调整的补充说明</w:t>
      </w:r>
      <w:bookmarkEnd w:id="783"/>
      <w:bookmarkEnd w:id="784"/>
      <w:bookmarkEnd w:id="78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16.3.1 不平衡报价的认定标准及修正办法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（1）不平衡报价的认定标准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不平衡报价指本合同已标价工程量清单的综合单价与按在广州市建设工程造价监管平台备案的招标控制价的对应清单子目综合单价）*投标净下浮率后的价格相比，超出</w:t>
      </w:r>
      <w:r>
        <w:rPr>
          <w:rFonts w:hint="eastAsia"/>
          <w:color w:val="000000" w:themeColor="text1"/>
          <w:highlight w:val="none"/>
          <w:u w:val="single"/>
          <w14:textFill>
            <w14:solidFill>
              <w14:schemeClr w14:val="tx1"/>
            </w14:solidFill>
          </w14:textFill>
        </w:rPr>
        <w:t>±</w:t>
      </w:r>
      <w:r>
        <w:rPr>
          <w:color w:val="000000" w:themeColor="text1"/>
          <w:highlight w:val="none"/>
          <w:u w:val="single"/>
          <w14:textFill>
            <w14:solidFill>
              <w14:schemeClr w14:val="tx1"/>
            </w14:solidFill>
          </w14:textFill>
        </w:rPr>
        <w:t>30</w:t>
      </w:r>
      <w:r>
        <w:rPr>
          <w:rFonts w:hint="eastAsia"/>
          <w:color w:val="000000" w:themeColor="text1"/>
          <w:highlight w:val="none"/>
          <w:u w:val="single"/>
          <w14:textFill>
            <w14:solidFill>
              <w14:schemeClr w14:val="tx1"/>
            </w14:solidFill>
          </w14:textFill>
        </w:rPr>
        <w:t>%</w:t>
      </w:r>
      <w:r>
        <w:rPr>
          <w:rFonts w:hint="eastAsia"/>
          <w:color w:val="000000" w:themeColor="text1"/>
          <w:highlight w:val="none"/>
          <w14:textFill>
            <w14:solidFill>
              <w14:schemeClr w14:val="tx1"/>
            </w14:solidFill>
          </w14:textFill>
        </w:rPr>
        <w:t>的清单项目综合单价，或发包人有对标证据或合理解释证明明显高于市场合理价格的分包人清单项目综合单价。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（2）不平衡报价的修正办法</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①</w:t>
      </w:r>
      <w:r>
        <w:rPr>
          <w:rFonts w:hint="eastAsia"/>
          <w:color w:val="000000" w:themeColor="text1"/>
          <w:highlight w:val="none"/>
          <w14:textFill>
            <w14:solidFill>
              <w14:schemeClr w14:val="tx1"/>
            </w14:solidFill>
          </w14:textFill>
        </w:rPr>
        <w:t>当不平衡报价清单项目的履约实际工程量超出已标价工程量清单不平衡报价清单项目工程量时，发包人有权直接对超出的工程量的综合单价进行修订，承包人、分包人须无条件配合并按修订后价格计价。若分包人拒不按修订后价格履约的，应按不平衡报价修订前与修订后合同价格差额的2倍向发包人支付违约金。</w:t>
      </w:r>
    </w:p>
    <w:p>
      <w:pPr>
        <w:pStyle w:val="52"/>
        <w:ind w:firstLine="420"/>
        <w:rPr>
          <w:color w:val="000000" w:themeColor="text1"/>
          <w:highlight w:val="none"/>
          <w14:textFill>
            <w14:solidFill>
              <w14:schemeClr w14:val="tx1"/>
            </w14:solidFill>
          </w14:textFill>
        </w:rPr>
      </w:pPr>
      <w:r>
        <w:rPr>
          <w:rFonts w:hint="eastAsia" w:ascii="仿宋" w:hAnsi="仿宋" w:eastAsia="仿宋" w:cs="仿宋"/>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修正原则：招标控制价的对应清单子目综合单价*（1-投标净下浮率）为修正后的综合单价；若招标控制价的清单子目综合单价有明显错误的，则按本合同专用条款第15.2.1项第（3）目原则确定修正后的综合单位；本工程竣工结算时，不平衡报价清单项目超出已标价工程量清单相应项目工程量的综合单价按修正后综合单价据实结算，若发生变更的，按第15.2.1项约定执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u w:val="single"/>
          <w14:textFill>
            <w14:solidFill>
              <w14:schemeClr w14:val="tx1"/>
            </w14:solidFill>
          </w14:textFill>
        </w:rPr>
        <w:t>应报而漏报或报价为零的清单项目，则视为其价格已含在签约合同价格中，发包人将不另行支付费用。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16.3.2 政策影响的合同价格调整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（1）截标日至本合同签署前发生增值税政策性调整的，调整后签约合同价格=不含增值税的中标金额*（1+政策调整后的增值税税率）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（2）当合同履约期间发生政策性调整增值税税率时，分包人提供增值税专用发票的增值税税率应按政策性调整后的税率执行；若分包人拒绝执行或不积极配合执行的，自行承担付款延期责任及其相关违约责任。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合同价格=政策性税率调整执行前累计已支付的不含税工程价款*（1+原合同增值税税率）+政策性税率调整执行时未支付的不含税工程价款*（1+政策性调整后的增值税税率）</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16.3.</w:t>
      </w:r>
      <w:r>
        <w:rPr>
          <w:rFonts w:hint="eastAsia"/>
          <w:color w:val="000000" w:themeColor="text1"/>
          <w:highlight w:val="none"/>
          <w14:textFill>
            <w14:solidFill>
              <w14:schemeClr w14:val="tx1"/>
            </w14:solidFill>
          </w14:textFill>
        </w:rPr>
        <w:t>3</w:t>
      </w:r>
      <w:r>
        <w:rPr>
          <w:color w:val="000000" w:themeColor="text1"/>
          <w:highlight w:val="none"/>
          <w14:textFill>
            <w14:solidFill>
              <w14:schemeClr w14:val="tx1"/>
            </w14:solidFill>
          </w14:textFill>
        </w:rPr>
        <w:t xml:space="preserve"> 其他约定事项</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p>
    <w:p>
      <w:pPr>
        <w:pStyle w:val="73"/>
        <w:rPr>
          <w:color w:val="000000" w:themeColor="text1"/>
          <w:highlight w:val="none"/>
          <w14:textFill>
            <w14:solidFill>
              <w14:schemeClr w14:val="tx1"/>
            </w14:solidFill>
          </w14:textFill>
        </w:rPr>
      </w:pPr>
      <w:bookmarkStart w:id="786" w:name="_Toc8652"/>
      <w:bookmarkStart w:id="787" w:name="_Toc7487"/>
      <w:bookmarkStart w:id="788" w:name="_Toc12032"/>
      <w:bookmarkStart w:id="789" w:name="_Toc38987286"/>
      <w:bookmarkStart w:id="790" w:name="_Toc91082451"/>
      <w:bookmarkStart w:id="791" w:name="_Toc44492604"/>
      <w:bookmarkStart w:id="792" w:name="_Toc44228169"/>
      <w:r>
        <w:rPr>
          <w:rFonts w:hint="eastAsia"/>
          <w:color w:val="000000" w:themeColor="text1"/>
          <w:highlight w:val="none"/>
          <w14:textFill>
            <w14:solidFill>
              <w14:schemeClr w14:val="tx1"/>
            </w14:solidFill>
          </w14:textFill>
        </w:rPr>
        <w:t>17.计量与支付</w:t>
      </w:r>
      <w:bookmarkEnd w:id="786"/>
      <w:bookmarkEnd w:id="787"/>
      <w:bookmarkEnd w:id="788"/>
      <w:bookmarkEnd w:id="789"/>
      <w:bookmarkEnd w:id="790"/>
      <w:bookmarkEnd w:id="791"/>
      <w:bookmarkEnd w:id="792"/>
    </w:p>
    <w:p>
      <w:pPr>
        <w:pStyle w:val="77"/>
        <w:ind w:firstLine="480"/>
        <w:rPr>
          <w:color w:val="000000" w:themeColor="text1"/>
          <w:highlight w:val="none"/>
          <w14:textFill>
            <w14:solidFill>
              <w14:schemeClr w14:val="tx1"/>
            </w14:solidFill>
          </w14:textFill>
        </w:rPr>
      </w:pPr>
      <w:bookmarkStart w:id="793" w:name="_Toc28599"/>
      <w:bookmarkStart w:id="794" w:name="_Toc32282"/>
      <w:bookmarkStart w:id="795" w:name="_Toc44492605"/>
      <w:r>
        <w:rPr>
          <w:rFonts w:hint="eastAsia"/>
          <w:color w:val="000000" w:themeColor="text1"/>
          <w:highlight w:val="none"/>
          <w14:textFill>
            <w14:solidFill>
              <w14:schemeClr w14:val="tx1"/>
            </w14:solidFill>
          </w14:textFill>
        </w:rPr>
        <w:t>17.1. 计量</w:t>
      </w:r>
      <w:bookmarkEnd w:id="793"/>
      <w:bookmarkEnd w:id="794"/>
      <w:bookmarkEnd w:id="795"/>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17.1.1. 分包人通过承包人向发包人提交已完工程量报告的时间：</w:t>
      </w:r>
      <w:r>
        <w:rPr>
          <w:rFonts w:hint="eastAsia"/>
          <w:color w:val="000000" w:themeColor="text1"/>
          <w:highlight w:val="none"/>
          <w:u w:val="single"/>
          <w14:textFill>
            <w14:solidFill>
              <w14:schemeClr w14:val="tx1"/>
            </w14:solidFill>
          </w14:textFill>
        </w:rPr>
        <w:t xml:space="preserve"> 满足</w:t>
      </w:r>
      <w:r>
        <w:rPr>
          <w:rFonts w:hint="eastAsia" w:hAnsi="宋体"/>
          <w:color w:val="000000" w:themeColor="text1"/>
          <w:highlight w:val="none"/>
          <w:u w:val="single"/>
          <w14:textFill>
            <w14:solidFill>
              <w14:schemeClr w14:val="tx1"/>
            </w14:solidFill>
          </w14:textFill>
        </w:rPr>
        <w:t>每</w:t>
      </w:r>
      <w:r>
        <w:rPr>
          <w:rFonts w:hint="eastAsia"/>
          <w:color w:val="000000" w:themeColor="text1"/>
          <w:highlight w:val="none"/>
          <w:u w:val="single"/>
          <w14:textFill>
            <w14:solidFill>
              <w14:schemeClr w14:val="tx1"/>
            </w14:solidFill>
          </w14:textFill>
        </w:rPr>
        <w:t>期支付周期之日起</w:t>
      </w:r>
      <w:r>
        <w:rPr>
          <w:rFonts w:hint="eastAsia" w:hAnsi="宋体"/>
          <w:color w:val="000000" w:themeColor="text1"/>
          <w:highlight w:val="none"/>
          <w:u w:val="single"/>
          <w14:textFill>
            <w14:solidFill>
              <w14:schemeClr w14:val="tx1"/>
            </w14:solidFill>
          </w14:textFill>
        </w:rPr>
        <w:t>3日内，分包人通过承包人向监理人和发包人提交当期完成工作量统计报表</w:t>
      </w:r>
      <w:r>
        <w:rPr>
          <w:rFonts w:hint="eastAsia"/>
          <w:color w:val="000000" w:themeColor="text1"/>
          <w:highlight w:val="none"/>
          <w:u w:val="single"/>
          <w14:textFill>
            <w14:solidFill>
              <w14:schemeClr w14:val="tx1"/>
            </w14:solidFill>
          </w14:textFill>
        </w:rPr>
        <w:t>、已完工程造价明细资料、付款申请及附件资料等，并列明当期完成工作量对应的进度款</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17.1.4.工程量计算规则确定方式按合同附件</w:t>
      </w: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“已标价工程量清单”中的“投标报价须知”的相关规定执行。</w:t>
      </w:r>
    </w:p>
    <w:p>
      <w:pPr>
        <w:pStyle w:val="77"/>
        <w:ind w:firstLine="480"/>
        <w:rPr>
          <w:color w:val="000000" w:themeColor="text1"/>
          <w:highlight w:val="none"/>
          <w14:textFill>
            <w14:solidFill>
              <w14:schemeClr w14:val="tx1"/>
            </w14:solidFill>
          </w14:textFill>
        </w:rPr>
      </w:pPr>
      <w:bookmarkStart w:id="796" w:name="_Toc3353"/>
      <w:bookmarkStart w:id="797" w:name="_Toc26057"/>
      <w:bookmarkStart w:id="798" w:name="_Toc44492606"/>
      <w:r>
        <w:rPr>
          <w:rFonts w:hint="eastAsia"/>
          <w:color w:val="000000" w:themeColor="text1"/>
          <w:highlight w:val="none"/>
          <w14:textFill>
            <w14:solidFill>
              <w14:schemeClr w14:val="tx1"/>
            </w14:solidFill>
          </w14:textFill>
        </w:rPr>
        <w:t>17.2.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工程价款</w:t>
      </w:r>
      <w:bookmarkEnd w:id="796"/>
      <w:bookmarkEnd w:id="797"/>
      <w:bookmarkEnd w:id="798"/>
    </w:p>
    <w:p>
      <w:pPr>
        <w:pStyle w:val="52"/>
        <w:ind w:firstLine="420"/>
        <w:rPr>
          <w:rFonts w:hAnsi="宋体"/>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17.2.1. </w:t>
      </w:r>
      <w:r>
        <w:rPr>
          <w:rFonts w:hint="eastAsia" w:hAnsi="宋体"/>
          <w:color w:val="000000" w:themeColor="text1"/>
          <w:highlight w:val="none"/>
          <w14:textFill>
            <w14:solidFill>
              <w14:schemeClr w14:val="tx1"/>
            </w14:solidFill>
          </w14:textFill>
        </w:rPr>
        <w:t>本合同价格包干方式为：</w:t>
      </w:r>
    </w:p>
    <w:p>
      <w:pPr>
        <w:pStyle w:val="52"/>
        <w:ind w:firstLine="420"/>
        <w:rPr>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本工程红线外（以9#地块电缆井（编号F2）外边线为分界线，不含9#地块电缆井（编号F2））所有工作内容采用固定总价包干。固定总价包括完成所有工作内容所需的费用，包括但不限于完成红线外所有电源接驳及线缆敷设等工程内容所需的费用；为完成本工程所需与相关政府部门及沿线相关物业单位的配合协调工作、完成报规报建报验及申报送电工作所需的相关所有费用。</w:t>
      </w:r>
    </w:p>
    <w:p>
      <w:pPr>
        <w:pStyle w:val="52"/>
        <w:ind w:firstLine="420"/>
        <w:rPr>
          <w:rFonts w:hAnsi="宋体"/>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（2）红线内工程（母线槽除外）及母线槽工程，工作内容采用分部分项工程综合单价包干，措施项目（以费率计算的绿色施工安全防护措施费</w:t>
      </w:r>
      <w:r>
        <w:rPr>
          <w:rFonts w:hint="eastAsia"/>
          <w:color w:val="000000" w:themeColor="text1"/>
          <w:highlight w:val="none"/>
          <w14:textFill>
            <w14:solidFill>
              <w14:schemeClr w14:val="tx1"/>
            </w14:solidFill>
          </w14:textFill>
        </w:rPr>
        <w:t>及模板工程费</w:t>
      </w:r>
      <w:r>
        <w:rPr>
          <w:rFonts w:hint="eastAsia" w:hAnsi="宋体"/>
          <w:color w:val="000000" w:themeColor="text1"/>
          <w:highlight w:val="none"/>
          <w14:textFill>
            <w14:solidFill>
              <w14:schemeClr w14:val="tx1"/>
            </w14:solidFill>
          </w14:textFill>
        </w:rPr>
        <w:t>除外）固定总价包干，以费率计算的绿色施工安全防护措施费和其他项目费以综合费率包干；绿色施工安全防护措施费如按合同计算的费率超出定额规定的费率时，进度支付和结算按定额规定的费率计算，如按合同计算的费率低于定额规定的费率时，则按合同计算的费率计算。模板工程费用已包含在分部分项工程中的相关清单项目中。</w:t>
      </w:r>
    </w:p>
    <w:p>
      <w:pPr>
        <w:pStyle w:val="52"/>
        <w:ind w:firstLine="420"/>
        <w:rPr>
          <w:rFonts w:hAnsi="宋体"/>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红线内工程（母线槽除外）是指以电缆井（编号</w:t>
      </w:r>
      <w:r>
        <w:rPr>
          <w:rFonts w:hint="eastAsia"/>
          <w:color w:val="000000" w:themeColor="text1"/>
          <w:highlight w:val="none"/>
          <w14:textFill>
            <w14:solidFill>
              <w14:schemeClr w14:val="tx1"/>
            </w14:solidFill>
          </w14:textFill>
        </w:rPr>
        <w:t>F2</w:t>
      </w:r>
      <w:r>
        <w:rPr>
          <w:rFonts w:hint="eastAsia" w:hAnsi="宋体"/>
          <w:color w:val="000000" w:themeColor="text1"/>
          <w:highlight w:val="none"/>
          <w14:textFill>
            <w14:solidFill>
              <w14:schemeClr w14:val="tx1"/>
            </w14:solidFill>
          </w14:textFill>
        </w:rPr>
        <w:t>）至电缆井（编号G2）的土建及线缆敷设，电缆井（编号</w:t>
      </w:r>
      <w:r>
        <w:rPr>
          <w:rFonts w:hint="eastAsia"/>
          <w:color w:val="000000" w:themeColor="text1"/>
          <w:highlight w:val="none"/>
          <w14:textFill>
            <w14:solidFill>
              <w14:schemeClr w14:val="tx1"/>
            </w14:solidFill>
          </w14:textFill>
        </w:rPr>
        <w:t>F2</w:t>
      </w:r>
      <w:r>
        <w:rPr>
          <w:rFonts w:hint="eastAsia" w:hAnsi="宋体"/>
          <w:color w:val="000000" w:themeColor="text1"/>
          <w:highlight w:val="none"/>
          <w14:textFill>
            <w14:solidFill>
              <w14:schemeClr w14:val="tx1"/>
            </w14:solidFill>
          </w14:textFill>
        </w:rPr>
        <w:t>）和电缆井（编号G2）的施工；从电缆井（编号G2）至开关房及9#地块本合同界面范围内的供配电工程（不含母线槽）。</w:t>
      </w:r>
    </w:p>
    <w:p>
      <w:pPr>
        <w:pStyle w:val="52"/>
        <w:ind w:firstLine="420"/>
        <w:rPr>
          <w:rFonts w:hAnsi="宋体"/>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综合单价指完成工程量清单中一个规定计量单位按照施工图要求完成所有工作内容所需的费用，包括但不限于完成该规定清单项目所需的人工费、材料费和工程设备费、施工机具使用费、专利费用、扰民费、保险费、检验试验费（第三方检测除外）、赶工费和企业管理费、利润，以及合同明示或默示的风险费用等，综合单价除合同约定可调情况外不可调整。</w:t>
      </w:r>
    </w:p>
    <w:p>
      <w:pPr>
        <w:pStyle w:val="52"/>
        <w:ind w:firstLine="420"/>
        <w:rPr>
          <w:rFonts w:hAnsi="宋体"/>
          <w:color w:val="000000" w:themeColor="text1"/>
          <w:highlight w:val="none"/>
          <w14:textFill>
            <w14:solidFill>
              <w14:schemeClr w14:val="tx1"/>
            </w14:solidFill>
          </w14:textFill>
        </w:rPr>
      </w:pPr>
      <w:r>
        <w:rPr>
          <w:rFonts w:hint="eastAsia" w:hAnsi="宋体"/>
          <w:color w:val="000000" w:themeColor="text1"/>
          <w:highlight w:val="none"/>
          <w14:textFill>
            <w14:solidFill>
              <w14:schemeClr w14:val="tx1"/>
            </w14:solidFill>
          </w14:textFill>
        </w:rPr>
        <w:t>通用条款第1）、2）、3）目不适用。</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14:textFill>
            <w14:solidFill>
              <w14:schemeClr w14:val="tx1"/>
            </w14:solidFill>
          </w14:textFill>
        </w:rPr>
        <w:t xml:space="preserve">4） 风险费用的计算方法： </w:t>
      </w:r>
      <w:r>
        <w:rPr>
          <w:rFonts w:hint="eastAsia"/>
          <w:color w:val="000000" w:themeColor="text1"/>
          <w:highlight w:val="none"/>
          <w:u w:val="single"/>
          <w14:textFill>
            <w14:solidFill>
              <w14:schemeClr w14:val="tx1"/>
            </w14:solidFill>
          </w14:textFill>
        </w:rPr>
        <w:t>已包含在本合同价格（包括但不限于固定综合单价、固定总价、固定费率等）中，风险范围包括但不限于如下内容：</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 xml:space="preserve"> ①人工、设备、材料、施工机械使用费的市场价格变化（合同另有明确约定的除外）；</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 xml:space="preserve"> ②图纸虽未明确表示但按国家或地方规范必须实施的内容；</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 xml:space="preserve"> ③承包人投标时应报而漏报或报价为零或不平衡报价的清单项目；</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 xml:space="preserve"> ④分包人通常可以预料的风险；</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⑤合同中约定的其他属于分包人承担的风险。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5）其他可调整合同价款的情形：</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①图纸与已标价的工程量清单不一致的；</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②经设计人确认且发包人同意的设计变更；</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③经发包人确认的签证；</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④双方在本合同中约定可调整合同价款的其他情形。</w:t>
      </w:r>
    </w:p>
    <w:p>
      <w:pPr>
        <w:pStyle w:val="52"/>
        <w:ind w:firstLine="422"/>
        <w:rPr>
          <w:b/>
          <w:color w:val="000000" w:themeColor="text1"/>
          <w:highlight w:val="none"/>
          <w:u w:val="single"/>
          <w14:textFill>
            <w14:solidFill>
              <w14:schemeClr w14:val="tx1"/>
            </w14:solidFill>
          </w14:textFill>
        </w:rPr>
      </w:pPr>
      <w:r>
        <w:rPr>
          <w:b/>
          <w:color w:val="000000" w:themeColor="text1"/>
          <w:highlight w:val="none"/>
          <w:u w:val="single"/>
          <w14:textFill>
            <w14:solidFill>
              <w14:schemeClr w14:val="tx1"/>
            </w14:solidFill>
          </w14:textFill>
        </w:rPr>
        <w:t xml:space="preserve">17.2.2 </w:t>
      </w:r>
      <w:r>
        <w:rPr>
          <w:rFonts w:hint="eastAsia"/>
          <w:b/>
          <w:color w:val="000000" w:themeColor="text1"/>
          <w:highlight w:val="none"/>
          <w:u w:val="single"/>
          <w14:textFill>
            <w14:solidFill>
              <w14:schemeClr w14:val="tx1"/>
            </w14:solidFill>
          </w14:textFill>
        </w:rPr>
        <w:t>工程款支付方式</w:t>
      </w:r>
    </w:p>
    <w:p>
      <w:pPr>
        <w:pStyle w:val="52"/>
        <w:ind w:firstLine="422"/>
        <w:rPr>
          <w:b/>
          <w:color w:val="000000" w:themeColor="text1"/>
          <w:highlight w:val="none"/>
          <w:u w:val="single"/>
          <w14:textFill>
            <w14:solidFill>
              <w14:schemeClr w14:val="tx1"/>
            </w14:solidFill>
          </w14:textFill>
        </w:rPr>
      </w:pPr>
      <w:r>
        <w:rPr>
          <w:rFonts w:hint="eastAsia"/>
          <w:b/>
          <w:color w:val="000000" w:themeColor="text1"/>
          <w:highlight w:val="none"/>
          <w:u w:val="single"/>
          <w14:textFill>
            <w14:solidFill>
              <w14:schemeClr w14:val="tx1"/>
            </w14:solidFill>
          </w14:textFill>
        </w:rPr>
        <w:t>1）合同每期含税应付工程款50%采用现金支付；50%非现金支付，账期为6个月。</w:t>
      </w:r>
    </w:p>
    <w:p>
      <w:pPr>
        <w:pStyle w:val="52"/>
        <w:ind w:firstLine="422"/>
        <w:rPr>
          <w:b/>
          <w:color w:val="000000" w:themeColor="text1"/>
          <w:highlight w:val="none"/>
          <w:u w:val="single"/>
          <w14:textFill>
            <w14:solidFill>
              <w14:schemeClr w14:val="tx1"/>
            </w14:solidFill>
          </w14:textFill>
        </w:rPr>
      </w:pPr>
      <w:r>
        <w:rPr>
          <w:rFonts w:hint="eastAsia"/>
          <w:b/>
          <w:color w:val="000000" w:themeColor="text1"/>
          <w:highlight w:val="none"/>
          <w:u w:val="single"/>
          <w14:textFill>
            <w14:solidFill>
              <w14:schemeClr w14:val="tx1"/>
            </w14:solidFill>
          </w14:textFill>
        </w:rPr>
        <w:t>2）采用非现金支付，分包人在商业承兑汇票、供应链票据到期前进行贴现的，所有贴现相关费用由分包人自行承担；分包人将上述账期内对应的应收账款转让给保理公司进行保理融资的，由分包人与保理公司另行签署保理融资协议或合同，所有保理相关费用由分包人自行承担。</w:t>
      </w:r>
    </w:p>
    <w:p>
      <w:pPr>
        <w:pStyle w:val="52"/>
        <w:ind w:firstLine="422"/>
        <w:rPr>
          <w:b/>
          <w:color w:val="000000" w:themeColor="text1"/>
          <w:highlight w:val="none"/>
          <w:u w:val="single"/>
          <w14:textFill>
            <w14:solidFill>
              <w14:schemeClr w14:val="tx1"/>
            </w14:solidFill>
          </w14:textFill>
        </w:rPr>
      </w:pPr>
      <w:r>
        <w:rPr>
          <w:rFonts w:hint="eastAsia"/>
          <w:b/>
          <w:color w:val="000000" w:themeColor="text1"/>
          <w:highlight w:val="none"/>
          <w:u w:val="single"/>
          <w14:textFill>
            <w14:solidFill>
              <w14:schemeClr w14:val="tx1"/>
            </w14:solidFill>
          </w14:textFill>
        </w:rPr>
        <w:t>3）在发包人根据与承包人签署的承包合同向承包人支付本工程项目合同款（含非现金支付部分）前，承包人须向发包人提供经发包人审核同意的足额增值税专用发票；承包人根据与发包人签署的承包合同及本合同约定向分包人付款（含非现金支付部分）前，分包人应提供符合相关税收法规要求的发票。发包人采用非现金支付方式的，承包人、分包人同意无条件配合办理开具商业承兑汇票、供应链票据/凭证等支付工具的相关手续，否则视同违约，发包人可延后办理对应非现金付款手续且不承担任何责任。</w:t>
      </w:r>
    </w:p>
    <w:p>
      <w:pPr>
        <w:pStyle w:val="52"/>
        <w:ind w:firstLine="422"/>
        <w:rPr>
          <w:b/>
          <w:color w:val="000000" w:themeColor="text1"/>
          <w:highlight w:val="none"/>
          <w:u w:val="single"/>
          <w14:textFill>
            <w14:solidFill>
              <w14:schemeClr w14:val="tx1"/>
            </w14:solidFill>
          </w14:textFill>
        </w:rPr>
      </w:pPr>
      <w:r>
        <w:rPr>
          <w:rFonts w:hint="eastAsia"/>
          <w:b/>
          <w:color w:val="000000" w:themeColor="text1"/>
          <w:highlight w:val="none"/>
          <w:u w:val="single"/>
          <w14:textFill>
            <w14:solidFill>
              <w14:schemeClr w14:val="tx1"/>
            </w14:solidFill>
          </w14:textFill>
        </w:rPr>
        <w:t>4）支付每期应付合同款时，对本工程5</w:t>
      </w:r>
      <w:r>
        <w:rPr>
          <w:b/>
          <w:color w:val="000000" w:themeColor="text1"/>
          <w:highlight w:val="none"/>
          <w:u w:val="single"/>
          <w14:textFill>
            <w14:solidFill>
              <w14:schemeClr w14:val="tx1"/>
            </w14:solidFill>
          </w14:textFill>
        </w:rPr>
        <w:t>0</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的非现金支付合同价款</w:t>
      </w:r>
      <w:r>
        <w:rPr>
          <w:rFonts w:hint="eastAsia"/>
          <w:b/>
          <w:color w:val="000000" w:themeColor="text1"/>
          <w:highlight w:val="none"/>
          <w:u w:val="single"/>
          <w14:textFill>
            <w14:solidFill>
              <w14:schemeClr w14:val="tx1"/>
            </w14:solidFill>
          </w14:textFill>
        </w:rPr>
        <w:t>：如在发包人与承包人签署的承包合同项下发包人选择商业承兑汇票或供应链票据/凭证方式向承包人支付的，承包人需将发包人开具的商业承兑汇票或供应链票据直接背书或转让予分包人；如在发包人与承包人签署的承包合同项下发包人选择使用现金方式向承包人支付的，承包人亦应采用现金支付方式向分包人支付，承包人与分包人无条件同意，按该5</w:t>
      </w:r>
      <w:r>
        <w:rPr>
          <w:b/>
          <w:color w:val="000000" w:themeColor="text1"/>
          <w:highlight w:val="none"/>
          <w:u w:val="single"/>
          <w14:textFill>
            <w14:solidFill>
              <w14:schemeClr w14:val="tx1"/>
            </w14:solidFill>
          </w14:textFill>
        </w:rPr>
        <w:t>0</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非现金支付合同价款的</w:t>
      </w:r>
      <w:r>
        <w:rPr>
          <w:rFonts w:hint="eastAsia"/>
          <w:b/>
          <w:color w:val="000000" w:themeColor="text1"/>
          <w:highlight w:val="none"/>
          <w:u w:val="single"/>
          <w14:textFill>
            <w14:solidFill>
              <w14:schemeClr w14:val="tx1"/>
            </w14:solidFill>
          </w14:textFill>
        </w:rPr>
        <w:t>9</w:t>
      </w:r>
      <w:r>
        <w:rPr>
          <w:b/>
          <w:color w:val="000000" w:themeColor="text1"/>
          <w:highlight w:val="none"/>
          <w:u w:val="single"/>
          <w14:textFill>
            <w14:solidFill>
              <w14:schemeClr w14:val="tx1"/>
            </w14:solidFill>
          </w14:textFill>
        </w:rPr>
        <w:t>7.5</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支付该期应付合同款的非现金支付部分</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并确认该期应付合同款的</w:t>
      </w:r>
      <w:r>
        <w:rPr>
          <w:rFonts w:hint="eastAsia"/>
          <w:b/>
          <w:color w:val="000000" w:themeColor="text1"/>
          <w:highlight w:val="none"/>
          <w:u w:val="single"/>
          <w14:textFill>
            <w14:solidFill>
              <w14:schemeClr w14:val="tx1"/>
            </w14:solidFill>
          </w14:textFill>
        </w:rPr>
        <w:t>5</w:t>
      </w:r>
      <w:r>
        <w:rPr>
          <w:b/>
          <w:color w:val="000000" w:themeColor="text1"/>
          <w:highlight w:val="none"/>
          <w:u w:val="single"/>
          <w14:textFill>
            <w14:solidFill>
              <w14:schemeClr w14:val="tx1"/>
            </w14:solidFill>
          </w14:textFill>
        </w:rPr>
        <w:t>0</w:t>
      </w:r>
      <w:r>
        <w:rPr>
          <w:rFonts w:hint="eastAsia"/>
          <w:b/>
          <w:color w:val="000000" w:themeColor="text1"/>
          <w:highlight w:val="none"/>
          <w:u w:val="single"/>
          <w14:textFill>
            <w14:solidFill>
              <w14:schemeClr w14:val="tx1"/>
            </w14:solidFill>
          </w14:textFill>
        </w:rPr>
        <w:t>%</w:t>
      </w:r>
      <w:r>
        <w:rPr>
          <w:b/>
          <w:color w:val="000000" w:themeColor="text1"/>
          <w:highlight w:val="none"/>
          <w:u w:val="single"/>
          <w14:textFill>
            <w14:solidFill>
              <w14:schemeClr w14:val="tx1"/>
            </w14:solidFill>
          </w14:textFill>
        </w:rPr>
        <w:t>非现金支付部分已按现金支付方式足额支付</w:t>
      </w:r>
      <w:r>
        <w:rPr>
          <w:rFonts w:hint="eastAsia"/>
          <w:b/>
          <w:color w:val="000000" w:themeColor="text1"/>
          <w:highlight w:val="none"/>
          <w:u w:val="single"/>
          <w14:textFill>
            <w14:solidFill>
              <w14:schemeClr w14:val="tx1"/>
            </w14:solidFill>
          </w14:textFill>
        </w:rPr>
        <w:t>。</w:t>
      </w:r>
    </w:p>
    <w:p>
      <w:pPr>
        <w:pStyle w:val="52"/>
        <w:ind w:firstLine="420"/>
        <w:rPr>
          <w:color w:val="000000" w:themeColor="text1"/>
          <w:highlight w:val="none"/>
          <w:u w:val="single"/>
          <w14:textFill>
            <w14:solidFill>
              <w14:schemeClr w14:val="tx1"/>
            </w14:solidFill>
          </w14:textFill>
        </w:rPr>
      </w:pPr>
      <w:r>
        <w:rPr>
          <w:rFonts w:hint="eastAsia"/>
          <w:color w:val="000000" w:themeColor="text1"/>
          <w:highlight w:val="none"/>
          <w:u w:val="single"/>
          <w14:textFill>
            <w14:solidFill>
              <w14:schemeClr w14:val="tx1"/>
            </w14:solidFill>
          </w14:textFill>
        </w:rPr>
        <w:t>17.3.3.总承包服务费其他约定：分包人应按照合同附件6《总承包管理与配合服务管理办法》履行相应义务及职责，遵从总承包服务管理，进场后与承包人签署管理协议并严格执行现场管理办法，</w:t>
      </w:r>
      <w:r>
        <w:rPr>
          <w:color w:val="000000" w:themeColor="text1"/>
          <w:highlight w:val="none"/>
          <w14:textFill>
            <w14:solidFill>
              <w14:schemeClr w14:val="tx1"/>
            </w14:solidFill>
          </w14:textFill>
        </w:rPr>
        <w:t>相对应的总承包服务费由发包人统一向承包人支付</w:t>
      </w:r>
      <w:r>
        <w:rPr>
          <w:rFonts w:hint="eastAsia"/>
          <w:color w:val="000000" w:themeColor="text1"/>
          <w:highlight w:val="none"/>
          <w14:textFill>
            <w14:solidFill>
              <w14:schemeClr w14:val="tx1"/>
            </w14:solidFill>
          </w14:textFill>
        </w:rPr>
        <w:t>，分包人无需再向承包人支付</w:t>
      </w:r>
      <w:r>
        <w:rPr>
          <w:color w:val="000000" w:themeColor="text1"/>
          <w:highlight w:val="none"/>
          <w14:textFill>
            <w14:solidFill>
              <w14:schemeClr w14:val="tx1"/>
            </w14:solidFill>
          </w14:textFill>
        </w:rPr>
        <w:t>总承包服务费</w:t>
      </w:r>
      <w:r>
        <w:rPr>
          <w:rFonts w:hint="eastAsia"/>
          <w:color w:val="000000" w:themeColor="text1"/>
          <w:highlight w:val="none"/>
          <w:u w:val="singl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799" w:name="_Toc44492607"/>
      <w:bookmarkStart w:id="800" w:name="_Toc21731"/>
      <w:bookmarkStart w:id="801" w:name="_Toc3610"/>
      <w:r>
        <w:rPr>
          <w:rFonts w:hint="eastAsia"/>
          <w:color w:val="000000" w:themeColor="text1"/>
          <w:highlight w:val="none"/>
          <w14:textFill>
            <w14:solidFill>
              <w14:schemeClr w14:val="tx1"/>
            </w14:solidFill>
          </w14:textFill>
        </w:rPr>
        <w:t>17.4.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预付款</w:t>
      </w:r>
      <w:bookmarkEnd w:id="799"/>
      <w:bookmarkEnd w:id="800"/>
      <w:bookmarkEnd w:id="801"/>
    </w:p>
    <w:p>
      <w:pPr>
        <w:adjustRightInd w:val="0"/>
        <w:snapToGrid w:val="0"/>
        <w:spacing w:line="360" w:lineRule="auto"/>
        <w:ind w:firstLine="420" w:firstLineChars="200"/>
        <w:jc w:val="left"/>
        <w:outlineLvl w:val="2"/>
        <w:rPr>
          <w:rFonts w:ascii="Times New Roman" w:hAnsi="Times New Roman" w:eastAsia="仿宋_GB2312"/>
          <w:color w:val="000000" w:themeColor="text1"/>
          <w:kern w:val="0"/>
          <w:szCs w:val="32"/>
          <w:highlight w:val="none"/>
          <w:u w:val="single"/>
          <w14:textFill>
            <w14:solidFill>
              <w14:schemeClr w14:val="tx1"/>
            </w14:solidFill>
          </w14:textFill>
        </w:rPr>
      </w:pPr>
      <w:r>
        <w:rPr>
          <w:rFonts w:hint="eastAsia" w:ascii="Times New Roman" w:hAnsi="Times New Roman" w:eastAsia="仿宋_GB2312"/>
          <w:color w:val="000000" w:themeColor="text1"/>
          <w:kern w:val="0"/>
          <w:szCs w:val="32"/>
          <w:highlight w:val="none"/>
          <w:u w:val="single"/>
          <w14:textFill>
            <w14:solidFill>
              <w14:schemeClr w14:val="tx1"/>
            </w14:solidFill>
          </w14:textFill>
        </w:rPr>
        <w:t>17.4.1预付工程款金额：</w:t>
      </w:r>
      <w:r>
        <w:rPr>
          <w:rFonts w:ascii="Times New Roman" w:hAnsi="Times New Roman" w:eastAsia="仿宋_GB2312"/>
          <w:b/>
          <w:color w:val="000000" w:themeColor="text1"/>
          <w:kern w:val="0"/>
          <w:szCs w:val="32"/>
          <w:highlight w:val="none"/>
          <w:u w:val="single"/>
          <w14:textFill>
            <w14:solidFill>
              <w14:schemeClr w14:val="tx1"/>
            </w14:solidFill>
          </w14:textFill>
        </w:rPr>
        <w:t>无</w:t>
      </w:r>
      <w:r>
        <w:rPr>
          <w:rFonts w:hint="eastAsia" w:ascii="Times New Roman" w:hAnsi="Times New Roman" w:eastAsia="仿宋_GB2312"/>
          <w:color w:val="000000" w:themeColor="text1"/>
          <w:kern w:val="0"/>
          <w:szCs w:val="32"/>
          <w:highlight w:val="none"/>
          <w:u w:val="single"/>
          <w14:textFill>
            <w14:solidFill>
              <w14:schemeClr w14:val="tx1"/>
            </w14:solidFill>
          </w14:textFill>
        </w:rPr>
        <w:t>。</w:t>
      </w:r>
    </w:p>
    <w:p>
      <w:pPr>
        <w:adjustRightInd w:val="0"/>
        <w:snapToGrid w:val="0"/>
        <w:spacing w:line="360" w:lineRule="auto"/>
        <w:ind w:firstLine="420" w:firstLineChars="200"/>
        <w:jc w:val="left"/>
        <w:rPr>
          <w:rFonts w:ascii="Times New Roman" w:hAnsi="Times New Roman" w:eastAsia="仿宋_GB2312"/>
          <w:color w:val="000000" w:themeColor="text1"/>
          <w:kern w:val="0"/>
          <w:szCs w:val="32"/>
          <w:highlight w:val="none"/>
          <w:u w:val="single"/>
          <w14:textFill>
            <w14:solidFill>
              <w14:schemeClr w14:val="tx1"/>
            </w14:solidFill>
          </w14:textFill>
        </w:rPr>
      </w:pPr>
      <w:r>
        <w:rPr>
          <w:rFonts w:hint="eastAsia" w:ascii="Times New Roman" w:hAnsi="Times New Roman" w:eastAsia="仿宋_GB2312"/>
          <w:color w:val="000000" w:themeColor="text1"/>
          <w:kern w:val="0"/>
          <w:szCs w:val="32"/>
          <w:highlight w:val="none"/>
          <w:u w:val="single"/>
          <w14:textFill>
            <w14:solidFill>
              <w14:schemeClr w14:val="tx1"/>
            </w14:solidFill>
          </w14:textFill>
        </w:rPr>
        <w:t>若</w:t>
      </w:r>
      <w:r>
        <w:rPr>
          <w:rFonts w:ascii="Times New Roman" w:hAnsi="Times New Roman" w:eastAsia="仿宋_GB2312"/>
          <w:color w:val="000000" w:themeColor="text1"/>
          <w:kern w:val="0"/>
          <w:szCs w:val="32"/>
          <w:highlight w:val="none"/>
          <w:u w:val="single"/>
          <w14:textFill>
            <w14:solidFill>
              <w14:schemeClr w14:val="tx1"/>
            </w14:solidFill>
          </w14:textFill>
        </w:rPr>
        <w:t>发包人</w:t>
      </w:r>
      <w:r>
        <w:rPr>
          <w:rFonts w:hint="eastAsia" w:ascii="Times New Roman" w:hAnsi="Times New Roman" w:eastAsia="仿宋_GB2312"/>
          <w:color w:val="000000" w:themeColor="text1"/>
          <w:kern w:val="0"/>
          <w:szCs w:val="32"/>
          <w:highlight w:val="none"/>
          <w:u w:val="single"/>
          <w14:textFill>
            <w14:solidFill>
              <w14:schemeClr w14:val="tx1"/>
            </w14:solidFill>
          </w14:textFill>
        </w:rPr>
        <w:t>或承包人为分包人代缴了劳动保险金或其他费用，则在支付款或者最近一期进度款</w:t>
      </w:r>
      <w:r>
        <w:rPr>
          <w:rFonts w:ascii="Times New Roman" w:hAnsi="Times New Roman" w:eastAsia="仿宋_GB2312"/>
          <w:color w:val="000000" w:themeColor="text1"/>
          <w:kern w:val="0"/>
          <w:szCs w:val="32"/>
          <w:highlight w:val="none"/>
          <w:u w:val="single"/>
          <w14:textFill>
            <w14:solidFill>
              <w14:schemeClr w14:val="tx1"/>
            </w14:solidFill>
          </w14:textFill>
        </w:rPr>
        <w:t>时，</w:t>
      </w:r>
      <w:r>
        <w:rPr>
          <w:rFonts w:hint="eastAsia" w:ascii="Times New Roman" w:hAnsi="Times New Roman" w:eastAsia="仿宋_GB2312"/>
          <w:color w:val="000000" w:themeColor="text1"/>
          <w:kern w:val="0"/>
          <w:szCs w:val="32"/>
          <w:highlight w:val="none"/>
          <w:u w:val="single"/>
          <w14:textFill>
            <w14:solidFill>
              <w14:schemeClr w14:val="tx1"/>
            </w14:solidFill>
          </w14:textFill>
        </w:rPr>
        <w:t>一次性抵</w:t>
      </w:r>
      <w:r>
        <w:rPr>
          <w:rFonts w:ascii="Times New Roman" w:hAnsi="Times New Roman" w:eastAsia="仿宋_GB2312"/>
          <w:color w:val="000000" w:themeColor="text1"/>
          <w:kern w:val="0"/>
          <w:szCs w:val="32"/>
          <w:highlight w:val="none"/>
          <w:u w:val="single"/>
          <w14:textFill>
            <w14:solidFill>
              <w14:schemeClr w14:val="tx1"/>
            </w14:solidFill>
          </w14:textFill>
        </w:rPr>
        <w:t>回发包人或承包人已缴劳动保险金额</w:t>
      </w:r>
      <w:r>
        <w:rPr>
          <w:rFonts w:hint="eastAsia" w:ascii="Times New Roman" w:hAnsi="Times New Roman" w:eastAsia="仿宋_GB2312"/>
          <w:color w:val="000000" w:themeColor="text1"/>
          <w:kern w:val="0"/>
          <w:szCs w:val="32"/>
          <w:highlight w:val="none"/>
          <w:u w:val="singl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802" w:name="_Toc30989"/>
      <w:bookmarkStart w:id="803" w:name="_Toc26072"/>
      <w:bookmarkStart w:id="804" w:name="_Toc44492608"/>
      <w:r>
        <w:rPr>
          <w:rFonts w:hint="eastAsia"/>
          <w:color w:val="000000" w:themeColor="text1"/>
          <w:highlight w:val="none"/>
          <w14:textFill>
            <w14:solidFill>
              <w14:schemeClr w14:val="tx1"/>
            </w14:solidFill>
          </w14:textFill>
        </w:rPr>
        <w:t>17.5.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工程进度付款</w:t>
      </w:r>
      <w:bookmarkEnd w:id="802"/>
      <w:bookmarkEnd w:id="803"/>
      <w:bookmarkEnd w:id="804"/>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17.5.1. 合同签订后30日历天内，分包人按照本合同的样式和条件向承包人提交本合同签约合同价格的10％的不可撤销的银行履约保函。且分包人应向承包人提交本工程的安全文明施工费押金，押金金额为本合同暂定金额的1%计取且总金额不超过5万元。押金如因扣款等原因减少，分包人须按上述要求补足。</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17.5.2. 工程进度款根据以下各施工节点形象进度完成情况支付: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（1）绿色施工安全防护措施费支付方式：</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sym w:font="Wingdings 2" w:char="F052"/>
      </w:r>
      <w:r>
        <w:rPr>
          <w:rFonts w:hint="eastAsia"/>
          <w:color w:val="000000" w:themeColor="text1"/>
          <w:highlight w:val="none"/>
          <w14:textFill>
            <w14:solidFill>
              <w14:schemeClr w14:val="tx1"/>
            </w14:solidFill>
          </w14:textFill>
        </w:rPr>
        <w:t>方式一（适用于工期在一年以内的）：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在本工程开工日起计</w:t>
      </w:r>
      <w:r>
        <w:rPr>
          <w:rFonts w:hint="eastAsia"/>
          <w:color w:val="000000" w:themeColor="text1"/>
          <w:highlight w:val="none"/>
          <w:u w:val="single"/>
          <w14:textFill>
            <w14:solidFill>
              <w14:schemeClr w14:val="tx1"/>
            </w14:solidFill>
          </w14:textFill>
        </w:rPr>
        <w:t>第</w:t>
      </w:r>
      <w:r>
        <w:rPr>
          <w:color w:val="000000" w:themeColor="text1"/>
          <w:highlight w:val="none"/>
          <w:u w:val="single"/>
          <w14:textFill>
            <w14:solidFill>
              <w14:schemeClr w14:val="tx1"/>
            </w14:solidFill>
          </w14:textFill>
        </w:rPr>
        <w:t>28天</w:t>
      </w:r>
      <w:r>
        <w:rPr>
          <w:color w:val="000000" w:themeColor="text1"/>
          <w:highlight w:val="none"/>
          <w14:textFill>
            <w14:solidFill>
              <w14:schemeClr w14:val="tx1"/>
            </w14:solidFill>
          </w14:textFill>
        </w:rPr>
        <w:t>内</w:t>
      </w:r>
      <w:r>
        <w:rPr>
          <w:rFonts w:hint="eastAsia"/>
          <w:color w:val="000000" w:themeColor="text1"/>
          <w:highlight w:val="none"/>
          <w14:textFill>
            <w14:solidFill>
              <w14:schemeClr w14:val="tx1"/>
            </w14:solidFill>
          </w14:textFill>
        </w:rPr>
        <w:t>，且分包人已通过承包人向发包人提交满足本工程要求的绿色施工安全防护措施方案与计划后，分包人可通过承包人向发包人申请预付绿色施工安全防护措施费。经发包人审核满足支付条件后30天内，向分包人支付</w:t>
      </w:r>
      <w:r>
        <w:rPr>
          <w:rFonts w:hint="eastAsia"/>
          <w:b/>
          <w:color w:val="000000" w:themeColor="text1"/>
          <w:highlight w:val="none"/>
          <w14:textFill>
            <w14:solidFill>
              <w14:schemeClr w14:val="tx1"/>
            </w14:solidFill>
          </w14:textFill>
        </w:rPr>
        <w:t>至</w:t>
      </w:r>
      <w:r>
        <w:rPr>
          <w:rFonts w:hint="eastAsia"/>
          <w:color w:val="000000" w:themeColor="text1"/>
          <w:highlight w:val="none"/>
          <w14:textFill>
            <w14:solidFill>
              <w14:schemeClr w14:val="tx1"/>
            </w14:solidFill>
          </w14:textFill>
        </w:rPr>
        <w:t>绿色施工安全防护措施费总额的</w:t>
      </w:r>
      <w:r>
        <w:rPr>
          <w:rFonts w:hint="eastAsia"/>
          <w:color w:val="000000" w:themeColor="text1"/>
          <w:highlight w:val="none"/>
          <w:u w:val="single"/>
          <w14:textFill>
            <w14:solidFill>
              <w14:schemeClr w14:val="tx1"/>
            </w14:solidFill>
          </w14:textFill>
        </w:rPr>
        <w:t>50%。</w:t>
      </w:r>
      <w:r>
        <w:rPr>
          <w:rFonts w:hint="eastAsia"/>
          <w:color w:val="000000" w:themeColor="text1"/>
          <w:highlight w:val="none"/>
          <w14:textFill>
            <w14:solidFill>
              <w14:schemeClr w14:val="tx1"/>
            </w14:solidFill>
          </w14:textFill>
        </w:rPr>
        <w:t>该预付款项在支付第一期工程进度款时逐步扣减，每次扣减标准为当期已完工且合格工程估值中的对应绿色施工安全防护措施费，直至预付款项全部扣减完毕为止。自该预付款全部扣减完毕之日起，绿色施工安全防护措施费以当期工程进度完成的工程量为基础进行计算并随进度款同期支付。</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sym w:font="Wingdings 2" w:char="00A3"/>
      </w:r>
      <w:r>
        <w:rPr>
          <w:rFonts w:hint="eastAsia"/>
          <w:color w:val="000000" w:themeColor="text1"/>
          <w:highlight w:val="none"/>
          <w14:textFill>
            <w14:solidFill>
              <w14:schemeClr w14:val="tx1"/>
            </w14:solidFill>
          </w14:textFill>
        </w:rPr>
        <w:t>方式二（适用于工期满一年及以上的）：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在本工程开工日起计</w:t>
      </w:r>
      <w:r>
        <w:rPr>
          <w:rFonts w:hint="eastAsia"/>
          <w:color w:val="000000" w:themeColor="text1"/>
          <w:highlight w:val="none"/>
          <w:u w:val="single"/>
          <w14:textFill>
            <w14:solidFill>
              <w14:schemeClr w14:val="tx1"/>
            </w14:solidFill>
          </w14:textFill>
        </w:rPr>
        <w:t>第</w:t>
      </w:r>
      <w:r>
        <w:rPr>
          <w:color w:val="000000" w:themeColor="text1"/>
          <w:highlight w:val="none"/>
          <w:u w:val="single"/>
          <w14:textFill>
            <w14:solidFill>
              <w14:schemeClr w14:val="tx1"/>
            </w14:solidFill>
          </w14:textFill>
        </w:rPr>
        <w:t>28天</w:t>
      </w:r>
      <w:r>
        <w:rPr>
          <w:color w:val="000000" w:themeColor="text1"/>
          <w:highlight w:val="none"/>
          <w14:textFill>
            <w14:solidFill>
              <w14:schemeClr w14:val="tx1"/>
            </w14:solidFill>
          </w14:textFill>
        </w:rPr>
        <w:t>内</w:t>
      </w:r>
      <w:r>
        <w:rPr>
          <w:rFonts w:hint="eastAsia"/>
          <w:color w:val="000000" w:themeColor="text1"/>
          <w:highlight w:val="none"/>
          <w14:textFill>
            <w14:solidFill>
              <w14:schemeClr w14:val="tx1"/>
            </w14:solidFill>
          </w14:textFill>
        </w:rPr>
        <w:t>，且分包人已通过承包人向发包人提交满足本工程要求的绿色施工安全防护措施方案与计划后，分包人可通过承包人向发包人申请预付绿色施工安全防护措施费。经发包人审核满足支付条件后30天内，向分包人支付</w:t>
      </w:r>
      <w:r>
        <w:rPr>
          <w:rFonts w:hint="eastAsia"/>
          <w:b/>
          <w:color w:val="000000" w:themeColor="text1"/>
          <w:highlight w:val="none"/>
          <w14:textFill>
            <w14:solidFill>
              <w14:schemeClr w14:val="tx1"/>
            </w14:solidFill>
          </w14:textFill>
        </w:rPr>
        <w:t>至</w:t>
      </w:r>
      <w:r>
        <w:rPr>
          <w:rFonts w:hint="eastAsia"/>
          <w:color w:val="000000" w:themeColor="text1"/>
          <w:highlight w:val="none"/>
          <w14:textFill>
            <w14:solidFill>
              <w14:schemeClr w14:val="tx1"/>
            </w14:solidFill>
          </w14:textFill>
        </w:rPr>
        <w:t>绿色施工安全防护措施费总额的</w:t>
      </w:r>
      <w:r>
        <w:rPr>
          <w:rFonts w:hint="eastAsia"/>
          <w:color w:val="000000" w:themeColor="text1"/>
          <w:highlight w:val="none"/>
          <w:u w:val="single"/>
          <w14:textFill>
            <w14:solidFill>
              <w14:schemeClr w14:val="tx1"/>
            </w14:solidFill>
          </w14:textFill>
        </w:rPr>
        <w:t>30%。</w:t>
      </w:r>
      <w:r>
        <w:rPr>
          <w:rFonts w:hint="eastAsia"/>
          <w:color w:val="000000" w:themeColor="text1"/>
          <w:highlight w:val="none"/>
          <w14:textFill>
            <w14:solidFill>
              <w14:schemeClr w14:val="tx1"/>
            </w14:solidFill>
          </w14:textFill>
        </w:rPr>
        <w:t>该预付款在承包人每期支付的工程进度款中按合同中的计价文件要求计算并扣回，其余绿色施工安全防护措施费随后期的进度款同步支付。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分包人应建立绿色施工安全防护措施费账户，确保转款专用，在财务管理中单独列出安全防护、文明施工措施费清单；发包人有权对建设工程安全防护、文明施工措施的组织实施进行现场监督检查。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（2）工程进度款</w:t>
      </w:r>
    </w:p>
    <w:p>
      <w:pPr>
        <w:adjustRightInd w:val="0"/>
        <w:snapToGrid w:val="0"/>
        <w:spacing w:line="360" w:lineRule="auto"/>
        <w:ind w:firstLine="420" w:firstLineChars="200"/>
        <w:jc w:val="left"/>
        <w:outlineLvl w:val="3"/>
        <w:rPr>
          <w:rFonts w:ascii="仿宋_GB2312" w:hAnsi="宋体" w:eastAsia="仿宋_GB2312" w:cs="宋体"/>
          <w:bCs/>
          <w:color w:val="000000" w:themeColor="text1"/>
          <w:kern w:val="0"/>
          <w:szCs w:val="28"/>
          <w:highlight w:val="none"/>
          <w14:textFill>
            <w14:solidFill>
              <w14:schemeClr w14:val="tx1"/>
            </w14:solidFill>
          </w14:textFill>
        </w:rPr>
      </w:pPr>
      <w:r>
        <w:rPr>
          <w:rFonts w:ascii="仿宋_GB2312" w:hAnsi="宋体" w:eastAsia="仿宋_GB2312" w:cs="宋体"/>
          <w:bCs/>
          <w:color w:val="000000" w:themeColor="text1"/>
          <w:kern w:val="0"/>
          <w:szCs w:val="28"/>
          <w:highlight w:val="none"/>
          <w14:textFill>
            <w14:solidFill>
              <w14:schemeClr w14:val="tx1"/>
            </w14:solidFill>
          </w14:textFill>
        </w:rPr>
        <w:t>1</w:t>
      </w:r>
      <w:r>
        <w:rPr>
          <w:rFonts w:hint="eastAsia" w:ascii="仿宋_GB2312" w:hAnsi="宋体" w:eastAsia="仿宋_GB2312" w:cs="宋体"/>
          <w:bCs/>
          <w:color w:val="000000" w:themeColor="text1"/>
          <w:kern w:val="0"/>
          <w:szCs w:val="28"/>
          <w:highlight w:val="none"/>
          <w14:textFill>
            <w14:solidFill>
              <w14:schemeClr w14:val="tx1"/>
            </w14:solidFill>
          </w14:textFill>
        </w:rPr>
        <w:t>）</w:t>
      </w:r>
      <w:r>
        <w:rPr>
          <w:rFonts w:hint="eastAsia" w:ascii="仿宋_GB2312" w:hAnsi="宋体" w:eastAsia="仿宋_GB2312" w:cs="宋体"/>
          <w:b/>
          <w:bCs/>
          <w:color w:val="000000" w:themeColor="text1"/>
          <w:kern w:val="0"/>
          <w:szCs w:val="28"/>
          <w:highlight w:val="none"/>
          <w14:textFill>
            <w14:solidFill>
              <w14:schemeClr w14:val="tx1"/>
            </w14:solidFill>
          </w14:textFill>
        </w:rPr>
        <w:t>本合同工人工资的比例为</w:t>
      </w:r>
      <w:r>
        <w:rPr>
          <w:rFonts w:ascii="仿宋_GB2312" w:hAnsi="宋体" w:eastAsia="仿宋_GB2312" w:cs="宋体"/>
          <w:b/>
          <w:bCs/>
          <w:color w:val="000000" w:themeColor="text1"/>
          <w:kern w:val="0"/>
          <w:szCs w:val="28"/>
          <w:highlight w:val="none"/>
          <w:u w:val="single"/>
          <w14:textFill>
            <w14:solidFill>
              <w14:schemeClr w14:val="tx1"/>
            </w14:solidFill>
          </w14:textFill>
        </w:rPr>
        <w:t xml:space="preserve">   </w:t>
      </w:r>
      <w:r>
        <w:rPr>
          <w:rFonts w:ascii="仿宋_GB2312" w:hAnsi="宋体" w:eastAsia="仿宋_GB2312" w:cs="宋体"/>
          <w:b/>
          <w:bCs/>
          <w:color w:val="000000" w:themeColor="text1"/>
          <w:kern w:val="0"/>
          <w:szCs w:val="28"/>
          <w:highlight w:val="none"/>
          <w14:textFill>
            <w14:solidFill>
              <w14:schemeClr w14:val="tx1"/>
            </w14:solidFill>
          </w14:textFill>
        </w:rPr>
        <w:t xml:space="preserve"> %</w:t>
      </w:r>
      <w:r>
        <w:rPr>
          <w:rFonts w:hint="eastAsia" w:ascii="仿宋_GB2312" w:hAnsi="宋体" w:eastAsia="仿宋_GB2312" w:cs="宋体"/>
          <w:b/>
          <w:bCs/>
          <w:color w:val="000000" w:themeColor="text1"/>
          <w:kern w:val="0"/>
          <w:szCs w:val="28"/>
          <w:highlight w:val="none"/>
          <w14:textFill>
            <w14:solidFill>
              <w14:schemeClr w14:val="tx1"/>
            </w14:solidFill>
          </w14:textFill>
        </w:rPr>
        <w:t>（按中标通知书载明的人工费金额/签约合同价格（需扣除暂列金额、暂估价）计算所得比例，如中标通知书载明的人工费金额与清单中累计人工费金额不一致时，以较高者为准，且工人工资比例不得低于3%，如比例低于3%，则按3%）。工人工资费用由</w:t>
      </w:r>
      <w:r>
        <w:rPr>
          <w:rFonts w:hint="eastAsia" w:ascii="仿宋_GB2312" w:hAnsi="宋体" w:eastAsia="仿宋_GB2312" w:cs="宋体"/>
          <w:bCs/>
          <w:color w:val="000000" w:themeColor="text1"/>
          <w:kern w:val="0"/>
          <w:szCs w:val="28"/>
          <w:highlight w:val="none"/>
          <w14:textFill>
            <w14:solidFill>
              <w14:schemeClr w14:val="tx1"/>
            </w14:solidFill>
          </w14:textFill>
        </w:rPr>
        <w:t>发包人支付至承包人工人工资支付专用账户（分包人工人工资委托承包人代发，分包人按月考核工人工作量并编制工期支付表，经工人本人签字确认后，与当月工程进度等情况一并交承包人。承包人根据分包人编制的工资支付表，通过工人工资账户直接将工资支付到工人本人的银行账户，并向分包人提供代发工资凭证。），其余部分款项承包人支付至协议书所注明的分包人银行账户。本合同条款中有关工人工资的约定与穗建筑【2020】431号不一致的，以穗建筑【2020】431号文为准，具体实施细节由发包人、承包人及分包人后续另行协商约定。如后续政府颁发有关工人工资的新要求，则以政府最新要求为准。</w:t>
      </w:r>
    </w:p>
    <w:p>
      <w:pPr>
        <w:adjustRightInd w:val="0"/>
        <w:snapToGrid w:val="0"/>
        <w:spacing w:line="360" w:lineRule="auto"/>
        <w:ind w:firstLine="420" w:firstLineChars="200"/>
        <w:jc w:val="left"/>
        <w:outlineLvl w:val="3"/>
        <w:rPr>
          <w:rFonts w:ascii="仿宋_GB2312" w:hAnsi="宋体" w:eastAsia="仿宋_GB2312" w:cs="宋体"/>
          <w:b/>
          <w:bCs/>
          <w:color w:val="000000" w:themeColor="text1"/>
          <w:kern w:val="0"/>
          <w:szCs w:val="28"/>
          <w:highlight w:val="none"/>
          <w14:textFill>
            <w14:solidFill>
              <w14:schemeClr w14:val="tx1"/>
            </w14:solidFill>
          </w14:textFill>
        </w:rPr>
      </w:pPr>
      <w:r>
        <w:rPr>
          <w:rFonts w:ascii="仿宋_GB2312" w:hAnsi="宋体" w:eastAsia="仿宋_GB2312" w:cs="宋体"/>
          <w:bCs/>
          <w:color w:val="000000" w:themeColor="text1"/>
          <w:kern w:val="0"/>
          <w:szCs w:val="28"/>
          <w:highlight w:val="none"/>
          <w14:textFill>
            <w14:solidFill>
              <w14:schemeClr w14:val="tx1"/>
            </w14:solidFill>
          </w14:textFill>
        </w:rPr>
        <w:t>2）</w:t>
      </w:r>
      <w:r>
        <w:rPr>
          <w:rFonts w:hint="eastAsia" w:ascii="仿宋_GB2312" w:hAnsi="宋体" w:eastAsia="仿宋_GB2312" w:cs="宋体"/>
          <w:bCs/>
          <w:color w:val="000000" w:themeColor="text1"/>
          <w:kern w:val="0"/>
          <w:szCs w:val="28"/>
          <w:highlight w:val="none"/>
          <w14:textFill>
            <w14:solidFill>
              <w14:schemeClr w14:val="tx1"/>
            </w14:solidFill>
          </w14:textFill>
        </w:rPr>
        <w:t>工程进度款每月支付一次,每月25日前由分包人向承包人提出书面支付申请，经发包人和承包人审核，确认无误后，承包人向分包人支付上月内已完成合格工程量估算价值的 80%。</w:t>
      </w:r>
    </w:p>
    <w:p>
      <w:pPr>
        <w:adjustRightInd w:val="0"/>
        <w:snapToGrid w:val="0"/>
        <w:spacing w:line="360" w:lineRule="auto"/>
        <w:ind w:firstLine="420" w:firstLineChars="200"/>
        <w:jc w:val="left"/>
        <w:outlineLvl w:val="3"/>
        <w:rPr>
          <w:rFonts w:ascii="仿宋_GB2312" w:hAnsi="宋体" w:eastAsia="仿宋_GB2312" w:cs="宋体"/>
          <w:bCs/>
          <w:color w:val="000000" w:themeColor="text1"/>
          <w:kern w:val="0"/>
          <w:szCs w:val="28"/>
          <w:highlight w:val="none"/>
          <w14:textFill>
            <w14:solidFill>
              <w14:schemeClr w14:val="tx1"/>
            </w14:solidFill>
          </w14:textFill>
        </w:rPr>
      </w:pPr>
      <w:r>
        <w:rPr>
          <w:rFonts w:hint="eastAsia" w:ascii="仿宋_GB2312" w:hAnsi="宋体" w:eastAsia="仿宋_GB2312" w:cs="宋体"/>
          <w:bCs/>
          <w:color w:val="000000" w:themeColor="text1"/>
          <w:kern w:val="0"/>
          <w:szCs w:val="28"/>
          <w:highlight w:val="none"/>
          <w14:textFill>
            <w14:solidFill>
              <w14:schemeClr w14:val="tx1"/>
            </w14:solidFill>
          </w14:textFill>
        </w:rPr>
        <w:t>3）现场签证和设计变更费用支付：现场签证和设计变更价款核价文件经发包人盖章确认后，签证和设计变更价款随工程款同期同比例支付或扣回。</w:t>
      </w:r>
    </w:p>
    <w:p>
      <w:pPr>
        <w:adjustRightInd w:val="0"/>
        <w:snapToGrid w:val="0"/>
        <w:spacing w:line="360" w:lineRule="auto"/>
        <w:ind w:firstLine="420" w:firstLineChars="200"/>
        <w:jc w:val="left"/>
        <w:outlineLvl w:val="3"/>
        <w:rPr>
          <w:rFonts w:ascii="仿宋_GB2312" w:hAnsi="宋体" w:eastAsia="仿宋_GB2312" w:cs="宋体"/>
          <w:bCs/>
          <w:color w:val="000000" w:themeColor="text1"/>
          <w:kern w:val="0"/>
          <w:szCs w:val="28"/>
          <w:highlight w:val="none"/>
          <w14:textFill>
            <w14:solidFill>
              <w14:schemeClr w14:val="tx1"/>
            </w14:solidFill>
          </w14:textFill>
        </w:rPr>
      </w:pPr>
      <w:r>
        <w:rPr>
          <w:rFonts w:hint="eastAsia" w:ascii="仿宋_GB2312" w:hAnsi="宋体" w:eastAsia="仿宋_GB2312" w:cs="宋体"/>
          <w:bCs/>
          <w:color w:val="000000" w:themeColor="text1"/>
          <w:kern w:val="0"/>
          <w:szCs w:val="28"/>
          <w:highlight w:val="none"/>
          <w14:textFill>
            <w14:solidFill>
              <w14:schemeClr w14:val="tx1"/>
            </w14:solidFill>
          </w14:textFill>
        </w:rPr>
        <w:t>4）本工程竣工验收合格且收到完整结算资料后30天内，由分包人向承包人提出书面支付申请，经发包人和承包人审核，确认无误后，承包人向分包人累计支付至经发包人及承包人确认的本期或本批已完成工程量估算价值的85%。</w:t>
      </w:r>
    </w:p>
    <w:p>
      <w:pPr>
        <w:adjustRightInd w:val="0"/>
        <w:snapToGrid w:val="0"/>
        <w:spacing w:line="360" w:lineRule="auto"/>
        <w:ind w:firstLine="420" w:firstLineChars="200"/>
        <w:jc w:val="left"/>
        <w:outlineLvl w:val="3"/>
        <w:rPr>
          <w:rFonts w:ascii="仿宋_GB2312" w:hAnsi="宋体" w:eastAsia="仿宋_GB2312" w:cs="宋体"/>
          <w:bCs/>
          <w:color w:val="000000" w:themeColor="text1"/>
          <w:kern w:val="0"/>
          <w:szCs w:val="28"/>
          <w:highlight w:val="none"/>
          <w14:textFill>
            <w14:solidFill>
              <w14:schemeClr w14:val="tx1"/>
            </w14:solidFill>
          </w14:textFill>
        </w:rPr>
      </w:pPr>
      <w:r>
        <w:rPr>
          <w:rFonts w:hint="eastAsia" w:ascii="仿宋_GB2312" w:hAnsi="宋体" w:eastAsia="仿宋_GB2312" w:cs="宋体"/>
          <w:bCs/>
          <w:color w:val="000000" w:themeColor="text1"/>
          <w:kern w:val="0"/>
          <w:szCs w:val="28"/>
          <w:highlight w:val="none"/>
          <w14:textFill>
            <w14:solidFill>
              <w14:schemeClr w14:val="tx1"/>
            </w14:solidFill>
          </w14:textFill>
        </w:rPr>
        <w:t>5）分包人将本工程的竣工资料和结算资料一并通过承包人交付给发包人，发包人在审核确认、三方办理完毕结算手续，分包人向承包人书面提出结算款申请支付，经审核确认竣工结算价和送电完成后，发包人可通过承包人向分包人付至竣工结算价的97%，质量保证金为本合同工程结算价的3%，根据本合同附件《工程质量保修书》约定无息支付，同时扣除应扣款项。</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上述付款条件成立后，分包人向承包人提出书面支付申请，并提供与应付款金额等额的税务部门验证合格的增值税专用发票，工程进度款审批期限为28天，自分包人通过承包人向发包人书面提出付款申请或经发包人要求后重新提出付款申请并附齐相关证明之日起计。若分包人未提供书面付款申请或提供非正规（不合格）增值税专用发票，承包人有权不予支付任何款项且无需承担逾期付款的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付款申请经发包人审核确认后，发包人通知承包人本期工程款应支付金额,承包人应根据发包人审核确认的应付工程进度款金额的100%向发包人开具合规增值税专用发票，发包人在收到承包人提供的增值税专用发票后28天内支付工程款。对付款金额有异议的，发包人将在该期限内先支付已确认部分的款项。承包人应及时报送工程验收资料，资料不完整的视作该项工作未完成，进度款中不予确认。</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7）工程进度款支付时，应满足当地政府主管部门对工人工资管理与支付的相关规定，承包人应及时办理工人工资支付专户开户及签署监管协议相关事宜。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17.5.9.增值税发票的要求：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支付预付款及支付工程进度款的最迟7个工作日前，分包人应向承包人开具满足承包人及主管税务机关要求且与经发包人审批确认的预付款或进度款金额一致的合法增值税专用发票，承包人应根据总承包合同的约定，向发包人开具满足发包人及主管税务机关要求且与经发包人审批确认的预付款或进度款金额一致的合法增值税专用发票；在支付工程结算款时，分包人应向承包人开具累计金额为竣工结算总价（含税价）100%的合法增值税专用发票，承包人向发包人开具竣工结算总价（含税价）100%的合法增值税专用发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发票由分包人按承包人要求提供，发票未足额提供给承包人前或不按承包人的要求提供的，承包人有权拒付工程款，承包人不因此承担违约责任。上述增值税专用发票必须符合国家《增值税专用发票使用规定》的相关要求，如分包人开具的增值税专用发票是无效或虚假发票，或者发生延迟开具增值税专用发票的情况，分包人应负责赔偿承包人因为分包人开具虚假发票或延迟开具发票所造成的一切损失或损害（包括但不限于税金、附加费、罚金、滞纳金等）。</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开具的增值税专用发票（发票联及抵扣联）在送达承包人前如发生丢失、灭失或被盗等情况，导致相应票据未顺利送达承包人，或送达并经承包人签收后，发生丢失、灭失或被盗等情况的，分包人应向承包人提供丢失发票的记账联复印件（加盖发票专用章）等税收法规规定及主管税务机关要求提供的相关资料，并确保承包人顺利抵扣该增值税专用发票，否则，承包人因此遭受的经济损失由分包人负责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17.5.10.进度款支付要求：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工程款的计量及申请统一纳入承包人的工程款报审中，每期工程款由工人工资款项和其他工程款项两部分组成；工人工资款项由发包人支付给承包人工人工资账户，再由承包人支付给分包人；其他工程款项发包人支付至承包人的账户，再由承包人支付给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承包人收到发包人支付的工程款（含工人工资款）后，承包人须在7个工作日内将款项支付给相应的分包人。承包人未按上述时间要求支付分包工程款的，视为一次违约且按总承包合同的约定向发包人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因承包人原因未按本合同约定支付工程款的，分包人应自承包人应支付期限届满之日起第10天后向承包人发出要求付款的通知，承包人在收到付款通知后5天内仍未按要求支付的，分包人有权按照中国人民银行公布的同期一年期存款基准利率向承包人要求支付利息（该利息的计算基数为应付未付工程款）。计息时间从款项应支付期限届满之后第16日算起计至应付未付款实际支付之日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17.5.11 分包人应将合同约定支付给分包人的各项价款专用于合同工程，存于分包人设立的工程款监管账户，由发包人、分包人和开户银行签订《建设资金三方监管协议》，共同委托开户银行监管，并接受发包人监管，任何情况下分包人不得进行资金归集，不得通过权益转让、抵押、质押、担保等任何其他方式使用监管账户的资金。为方便对建设资金的监管，工程款监管账户原则在发包人或工程所在地经发包人认可的银行开立。工程进度款专用监管账户的具体要求详合同附件14。</w:t>
      </w:r>
    </w:p>
    <w:p>
      <w:pPr>
        <w:pStyle w:val="77"/>
        <w:ind w:firstLine="480"/>
        <w:rPr>
          <w:color w:val="000000" w:themeColor="text1"/>
          <w:highlight w:val="none"/>
          <w14:textFill>
            <w14:solidFill>
              <w14:schemeClr w14:val="tx1"/>
            </w14:solidFill>
          </w14:textFill>
        </w:rPr>
      </w:pPr>
      <w:bookmarkStart w:id="805" w:name="_Toc18043"/>
      <w:bookmarkStart w:id="806" w:name="_Toc44492609"/>
      <w:bookmarkStart w:id="807" w:name="_Toc24990"/>
      <w:r>
        <w:rPr>
          <w:rFonts w:hint="eastAsia"/>
          <w:color w:val="000000" w:themeColor="text1"/>
          <w:highlight w:val="none"/>
          <w14:textFill>
            <w14:solidFill>
              <w14:schemeClr w14:val="tx1"/>
            </w14:solidFill>
          </w14:textFill>
        </w:rPr>
        <w:t>17.6.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质量</w:t>
      </w:r>
      <w:bookmarkEnd w:id="805"/>
      <w:bookmarkEnd w:id="806"/>
      <w:bookmarkEnd w:id="807"/>
      <w:r>
        <w:rPr>
          <w:rFonts w:hint="eastAsia"/>
          <w:color w:val="000000" w:themeColor="text1"/>
          <w:highlight w:val="none"/>
          <w14:textFill>
            <w14:solidFill>
              <w14:schemeClr w14:val="tx1"/>
            </w14:solidFill>
          </w14:textFill>
        </w:rPr>
        <w:t>担保</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17.6.1. 质量保证金的担保额度为</w:t>
      </w:r>
      <w:r>
        <w:rPr>
          <w:rFonts w:hint="eastAsia" w:ascii="仿宋_GB2312" w:hAnsi="宋体" w:cs="宋体"/>
          <w:bCs/>
          <w:color w:val="000000" w:themeColor="text1"/>
          <w:szCs w:val="28"/>
          <w:highlight w:val="none"/>
          <w14:textFill>
            <w14:solidFill>
              <w14:schemeClr w14:val="tx1"/>
            </w14:solidFill>
          </w14:textFill>
        </w:rPr>
        <w:t>合同结算价格的3%</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17.6.2. 质量保证金的返还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缺陷责任期满，且分包人已全部完成缺陷修复责任时，分包人通过承包人向发包人申请到期退还质量保证金，发包人应在 30天内会同承包人、分包人按照合同、保修书约定的内容和相关法律法规规章核实分包人是否完成缺陷修复、整改责任。如无异议，发包人在核实后通过承包人将剩余的质量保证金无息退还分包人。  </w:t>
      </w:r>
    </w:p>
    <w:p>
      <w:pPr>
        <w:pStyle w:val="52"/>
        <w:ind w:firstLine="420"/>
        <w:rPr>
          <w:rFonts w:ascii="仿宋_GB2312" w:hAnsi="宋体"/>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缺陷责任期间，分包人未按《工程质量保修书》要求到场维修，发包人或承包人有权委托第三方维修，</w:t>
      </w:r>
      <w:r>
        <w:rPr>
          <w:rFonts w:hint="eastAsia" w:ascii="仿宋_GB2312" w:hAnsi="宋体"/>
          <w:color w:val="000000" w:themeColor="text1"/>
          <w:highlight w:val="none"/>
          <w14:textFill>
            <w14:solidFill>
              <w14:schemeClr w14:val="tx1"/>
            </w14:solidFill>
          </w14:textFill>
        </w:rPr>
        <w:t>所需维修费用由分包人承担，直接从工程质量保证金冲抵，</w:t>
      </w:r>
      <w:r>
        <w:rPr>
          <w:rFonts w:hint="eastAsia"/>
          <w:color w:val="000000" w:themeColor="text1"/>
          <w:highlight w:val="none"/>
          <w14:textFill>
            <w14:solidFill>
              <w14:schemeClr w14:val="tx1"/>
            </w14:solidFill>
          </w14:textFill>
        </w:rPr>
        <w:t>质量</w:t>
      </w:r>
      <w:r>
        <w:rPr>
          <w:rFonts w:hint="eastAsia" w:ascii="仿宋_GB2312" w:hAnsi="宋体"/>
          <w:color w:val="000000" w:themeColor="text1"/>
          <w:highlight w:val="none"/>
          <w14:textFill>
            <w14:solidFill>
              <w14:schemeClr w14:val="tx1"/>
            </w14:solidFill>
          </w14:textFill>
        </w:rPr>
        <w:t>保证金不足以支付保修费用时，承包人有权进一步向分包人追索。</w:t>
      </w:r>
    </w:p>
    <w:p>
      <w:pPr>
        <w:pStyle w:val="52"/>
        <w:ind w:firstLine="420"/>
        <w:rPr>
          <w:rFonts w:ascii="仿宋_GB2312" w:hAnsi="宋体"/>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在缺陷责任期满时，分包人没有完成保修责任的，发包人、承包人有权要求延长缺陷责任期，直至完成缺陷修复工作为止。</w:t>
      </w:r>
    </w:p>
    <w:p>
      <w:pPr>
        <w:pStyle w:val="77"/>
        <w:ind w:firstLine="480"/>
        <w:rPr>
          <w:color w:val="000000" w:themeColor="text1"/>
          <w:highlight w:val="none"/>
          <w14:textFill>
            <w14:solidFill>
              <w14:schemeClr w14:val="tx1"/>
            </w14:solidFill>
          </w14:textFill>
        </w:rPr>
      </w:pPr>
      <w:bookmarkStart w:id="808" w:name="_Toc44492610"/>
      <w:bookmarkStart w:id="809" w:name="_Toc27342"/>
      <w:bookmarkStart w:id="810" w:name="_Toc17933"/>
      <w:r>
        <w:rPr>
          <w:rFonts w:hint="eastAsia"/>
          <w:color w:val="000000" w:themeColor="text1"/>
          <w:highlight w:val="none"/>
          <w14:textFill>
            <w14:solidFill>
              <w14:schemeClr w14:val="tx1"/>
            </w14:solidFill>
          </w14:textFill>
        </w:rPr>
        <w:t>17.7.</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竣工结算</w:t>
      </w:r>
      <w:bookmarkEnd w:id="808"/>
      <w:bookmarkEnd w:id="809"/>
      <w:bookmarkEnd w:id="81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17.7.1本合同结算书及相关资料约定如下：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1）结算资料目录；</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2）工程结算书，包括编制说明、结算汇总表、工程量清单计价表、结算金额与合同金额对比表及其差异分析、指标分析表及与结算相关的计价文件依据等；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3）工程量计算书，需按各个电房或系统单独计算并列明轴线对应的范围；</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4）开工报告、竣工验收报告、竣工验收记录、</w:t>
      </w:r>
      <w:r>
        <w:rPr>
          <w:rFonts w:hint="eastAsia" w:ascii="宋体" w:hAnsi="宋体"/>
          <w:color w:val="000000" w:themeColor="text1"/>
          <w:szCs w:val="24"/>
          <w:highlight w:val="none"/>
          <w14:textFill>
            <w14:solidFill>
              <w14:schemeClr w14:val="tx1"/>
            </w14:solidFill>
          </w14:textFill>
        </w:rPr>
        <w:t>《材料设备领料单》（如有）</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5）竣工结算授权委托书、竣工结算工作承诺书、工程结算申请报审表及施工范围确认表；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6）经发包人、造价咨询公司和承包人共同签名盖章确认的工程核价文件；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7）签证资料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8）设计变更资料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9）经审定的施工组织设计、施工方案或专项施工方案；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10）承包合同文件（含补充协议）；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11）竣工图纸，除须盖竣工图章外，还须有发包人工程安全部、承包单位、监理单位和设计院盖章；</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12）其他相关结算资料（包括但不限于财务对账表）；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以上资料需装订成册，按顺序编写连续页码，一正两副并提供U盘电子文件一份，工程量清单计价表中的工程量需与工程量计算书中的工程量做好链接。</w:t>
      </w:r>
    </w:p>
    <w:p>
      <w:pPr>
        <w:pStyle w:val="52"/>
        <w:tabs>
          <w:tab w:val="left" w:pos="4536"/>
        </w:tabs>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17.7.2  自本合同施工内容完成并验收合格后，分包人应在验收之日起90天内上报完整、有效的结算书；经承包人审核后，向发包人提交本分包工程完整、有效的结算书及相关资料，发包人在收到承包人提交的分包工程结算书之日起120天内进行审核，给予确认或提出修改意见，并将审核结果通知承包人、分包人。承包人、分包人确认同意的，则发包人审定的价款为本分包工程的竣工结算价款的最终依据；如承包人或分包人不同意的，三方针对争议部分进行核对和协商；经核对协商不能解决的争议部分，按本合同关于争议的约定处理。发包人与承包人、分包人就结算问题进行的沟通、协商、确认仅为协商过程性的行为。除非发包人法定代表人签字并加盖发包人公章，任何形式的文件以及任何人的行为都不能视为发包人对本分包工程结算的认可。</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17.7.7 对于竣工结算的其他约定：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在发包人与承包人、分包人就结算金额达成一致或生效裁判文书确定前，发包人对争议部分的支付义务不能确定，因此也无支付义务。只有在三方就结算金额达成一致或生效裁判文书确定发包人的支付义务后，发包人才有按照双方达成的一致或生效裁判文书支付结算款的义务，并在未按三方达成的一致或生效裁判文书确定的支付时间支付结算款时，才开始承担逾期支付的违约金或承担其他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2）凡是涉及到工程造价增减的设计变更、工程签证均必须有发包人签字并盖章方为有效。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3）设计变更、工程签证及现场签证按照相应规定执行。</w:t>
      </w:r>
    </w:p>
    <w:p>
      <w:pPr>
        <w:pStyle w:val="52"/>
        <w:ind w:firstLine="283" w:firstLineChars="135"/>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 4） 分包人违约金、水电费、赔偿金等相应扣款项，应扣未扣金额由发包人在应付结算价款中扣除。发包人凭收款收据及其他资料进行上述扣款。扣除部分不影响分包人应向发包人开具的发票数额。</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5）按国家规定由分包人交纳的各种税收、劳动保险费及其他费用已包含在本工程造价内，由分包人负责向税收等部门交纳。</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）发包人与监理人收到承包人提交的分包人竣工结算申请单，如经初步审核，资料不完善，分包人应在28天内补充完善并提交发包人审核，发包人审核开始时间从完整有效的结算资料收齐之日起计。</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）发包人复审竣工结算的，承包人、分包人应积极配合结算审核工作，因承包人、分包人提供资料不积极或者不准确、不完整造成的审核延误责任由分包人承担。最终结算金额以发包人书面确认为准。</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）本工程竣工结算方式（适用本合同的竣工结算方式为以下方框内已勾选方式，即</w:t>
      </w:r>
      <w:r>
        <w:rPr>
          <w:rFonts w:hint="eastAsia"/>
          <w:color w:val="000000" w:themeColor="text1"/>
          <w:highlight w:val="none"/>
          <w14:textFill>
            <w14:solidFill>
              <w14:schemeClr w14:val="tx1"/>
            </w14:solidFill>
          </w14:textFill>
        </w:rPr>
        <w:sym w:font="Wingdings 2" w:char="0052"/>
      </w:r>
      <w:r>
        <w:rPr>
          <w:rFonts w:hint="eastAsia"/>
          <w:color w:val="000000" w:themeColor="text1"/>
          <w:highlight w:val="none"/>
          <w14:textFill>
            <w14:solidFill>
              <w14:schemeClr w14:val="tx1"/>
            </w14:solidFill>
          </w14:textFill>
        </w:rPr>
        <w:t>）为:</w:t>
      </w:r>
    </w:p>
    <w:p>
      <w:pPr>
        <w:pStyle w:val="52"/>
        <w:ind w:firstLine="0" w:firstLineChars="0"/>
        <w:rPr>
          <w:color w:val="000000" w:themeColor="text1"/>
          <w:highlight w:val="none"/>
          <w14:textFill>
            <w14:solidFill>
              <w14:schemeClr w14:val="tx1"/>
            </w14:solidFill>
          </w14:textFill>
        </w:rPr>
      </w:pPr>
      <w:r>
        <w:rPr>
          <w:rFonts w:hint="eastAsia"/>
          <w:b/>
          <w:bCs/>
          <w:color w:val="000000" w:themeColor="text1"/>
          <w:sz w:val="28"/>
          <w:szCs w:val="28"/>
          <w:highlight w:val="none"/>
          <w14:textFill>
            <w14:solidFill>
              <w14:schemeClr w14:val="tx1"/>
            </w14:solidFill>
          </w14:textFill>
        </w:rPr>
        <w:sym w:font="Wingdings 2" w:char="00A3"/>
      </w:r>
      <w:r>
        <w:rPr>
          <w:rFonts w:hint="eastAsia"/>
          <w:b/>
          <w:bCs/>
          <w:color w:val="000000" w:themeColor="text1"/>
          <w:sz w:val="28"/>
          <w:szCs w:val="28"/>
          <w:highlight w:val="none"/>
          <w14:textFill>
            <w14:solidFill>
              <w14:schemeClr w14:val="tx1"/>
            </w14:solidFill>
          </w14:textFill>
        </w:rPr>
        <w:t>方式一</w:t>
      </w:r>
      <w:r>
        <w:rPr>
          <w:rFonts w:hint="eastAsia"/>
          <w:b/>
          <w:bCs/>
          <w:color w:val="000000" w:themeColor="text1"/>
          <w:highlight w:val="none"/>
          <w14:textFill>
            <w14:solidFill>
              <w14:schemeClr w14:val="tx1"/>
            </w14:solidFill>
          </w14:textFill>
        </w:rPr>
        <w:t>（适用于模拟清单招标固定单价计价模式）</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当重计量阶段已通过补充协议转固定总价合同时，竣工结算=补充协议约定的固定合同总价+设计变更+签证+索赔+其他；当重计量阶段尚不具备通过补充协议转固定总价合同的，竣工结算=竣工图（含设计变更）+签证+索赔+其他。</w:t>
      </w:r>
    </w:p>
    <w:p>
      <w:pPr>
        <w:pStyle w:val="52"/>
        <w:ind w:firstLine="0" w:firstLineChars="0"/>
        <w:rPr>
          <w:color w:val="000000" w:themeColor="text1"/>
          <w:highlight w:val="none"/>
          <w:u w:val="single"/>
          <w14:textFill>
            <w14:solidFill>
              <w14:schemeClr w14:val="tx1"/>
            </w14:solidFill>
          </w14:textFill>
        </w:rPr>
      </w:pPr>
      <w:r>
        <w:rPr>
          <w:rFonts w:ascii="Calibri" w:hAnsi="Calibri" w:eastAsia="宋体"/>
          <w:b/>
          <w:bCs/>
          <w:color w:val="000000" w:themeColor="text1"/>
          <w:kern w:val="2"/>
          <w:sz w:val="28"/>
          <w:szCs w:val="28"/>
          <w:highlight w:val="none"/>
          <w14:textFill>
            <w14:solidFill>
              <w14:schemeClr w14:val="tx1"/>
            </w14:solidFill>
          </w14:textFill>
        </w:rPr>
        <w:sym w:font="Wingdings 2" w:char="F052"/>
      </w:r>
      <w:r>
        <w:rPr>
          <w:rFonts w:hint="eastAsia"/>
          <w:b/>
          <w:bCs/>
          <w:color w:val="000000" w:themeColor="text1"/>
          <w:sz w:val="28"/>
          <w:szCs w:val="28"/>
          <w:highlight w:val="none"/>
          <w:u w:val="single"/>
          <w14:textFill>
            <w14:solidFill>
              <w14:schemeClr w14:val="tx1"/>
            </w14:solidFill>
          </w14:textFill>
        </w:rPr>
        <w:t>方式二</w:t>
      </w:r>
      <w:r>
        <w:rPr>
          <w:rFonts w:hint="eastAsia"/>
          <w:b/>
          <w:bCs/>
          <w:color w:val="000000" w:themeColor="text1"/>
          <w:highlight w:val="none"/>
          <w:u w:val="single"/>
          <w14:textFill>
            <w14:solidFill>
              <w14:schemeClr w14:val="tx1"/>
            </w14:solidFill>
          </w14:textFill>
        </w:rPr>
        <w:t>（</w:t>
      </w:r>
      <w:r>
        <w:rPr>
          <w:rFonts w:hint="eastAsia"/>
          <w:b/>
          <w:bCs/>
          <w:color w:val="000000" w:themeColor="text1"/>
          <w:highlight w:val="none"/>
          <w14:textFill>
            <w14:solidFill>
              <w14:schemeClr w14:val="tx1"/>
            </w14:solidFill>
          </w14:textFill>
        </w:rPr>
        <w:t>适用于施工图清单招标固定单价计价模式</w:t>
      </w:r>
      <w:r>
        <w:rPr>
          <w:rFonts w:hint="eastAsia"/>
          <w:b/>
          <w:bCs/>
          <w:color w:val="000000" w:themeColor="text1"/>
          <w:highlight w:val="none"/>
          <w:u w:val="singl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竣工结算=竣工图（含设计变更）+签证+索赔+其他；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分包人申报结算时不得高估冒算，分包人结算价超报率超过10%时，分包人应承担结算超报违约责任，结算超报违约金计算原则如下：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结算价超报率=（分包人结算送审造价－发包人结算审定价）/发包人结算审定价</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①分包人结算价超报率在10%（不含本数）~20%（含本数）时：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违约金＝(分包人结算送审造价－发包人结算审定价×1.</w:t>
      </w:r>
      <w:r>
        <w:rPr>
          <w:color w:val="000000" w:themeColor="text1"/>
          <w:highlight w:val="none"/>
          <w14:textFill>
            <w14:solidFill>
              <w14:schemeClr w14:val="tx1"/>
            </w14:solidFill>
          </w14:textFill>
        </w:rPr>
        <w:t>1)×5%</w:t>
      </w:r>
      <w:r>
        <w:rPr>
          <w:rFonts w:hint="eastAsia"/>
          <w:color w:val="000000" w:themeColor="text1"/>
          <w:highlight w:val="none"/>
          <w14:textFill>
            <w14:solidFill>
              <w14:schemeClr w14:val="tx1"/>
            </w14:solidFill>
          </w14:textFill>
        </w:rPr>
        <w:t>。</w:t>
      </w:r>
    </w:p>
    <w:p>
      <w:pPr>
        <w:pStyle w:val="52"/>
        <w:ind w:left="420" w:firstLine="0" w:firstLineChars="0"/>
        <w:rPr>
          <w:color w:val="000000" w:themeColor="text1"/>
          <w:highlight w:val="none"/>
          <w14:textFill>
            <w14:solidFill>
              <w14:schemeClr w14:val="tx1"/>
            </w14:solidFill>
          </w14:textFill>
        </w:rPr>
      </w:pPr>
      <w:r>
        <w:rPr>
          <w:rFonts w:hint="eastAsia" w:ascii="宋体" w:hAnsi="宋体" w:eastAsia="宋体" w:cs="宋体"/>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分包人结算价超报率在</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0%以上时：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违约金＝发包人结算审定价×0.1</w:t>
      </w: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+(分包人结算送审造价－发包人结算审定价×1.2)×</w:t>
      </w:r>
      <w:r>
        <w:rPr>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w:t>
      </w:r>
    </w:p>
    <w:p>
      <w:pPr>
        <w:spacing w:line="360" w:lineRule="auto"/>
        <w:ind w:firstLine="420" w:firstLineChars="200"/>
        <w:rPr>
          <w:rFonts w:eastAsia="仿宋_GB2312"/>
          <w:color w:val="000000" w:themeColor="text1"/>
          <w:kern w:val="0"/>
          <w:szCs w:val="32"/>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9）三方人员（发包人、承包人及分包人）应每次对数前都在工作签到表上签名，签到表应注明当天三方办理结算的具体工作时间、内容、范围等事项，作为三方到场办理结算的现场工作记录。三方结算人员办理结算对数时应友好合作，对经核对确认无异议的数据和资料应当共同签字确认。如有异议，应当场提出，当场核对，当场记录争议的具体内容。如分包人</w:t>
      </w:r>
      <w:r>
        <w:rPr>
          <w:rFonts w:hint="eastAsia" w:eastAsia="仿宋_GB2312"/>
          <w:color w:val="000000" w:themeColor="text1"/>
          <w:kern w:val="0"/>
          <w:szCs w:val="32"/>
          <w:highlight w:val="none"/>
          <w14:textFill>
            <w14:solidFill>
              <w14:schemeClr w14:val="tx1"/>
            </w14:solidFill>
          </w14:textFill>
        </w:rPr>
        <w:t>对所核对的数据和资料没有书面提出异议，又不签字认可，发包人可以单方签名并在经过</w:t>
      </w:r>
      <w:r>
        <w:rPr>
          <w:rFonts w:hint="eastAsia" w:ascii="Times New Roman" w:hAnsi="Times New Roman" w:eastAsia="仿宋_GB2312"/>
          <w:color w:val="000000" w:themeColor="text1"/>
          <w:kern w:val="0"/>
          <w:szCs w:val="32"/>
          <w:highlight w:val="none"/>
          <w14:textFill>
            <w14:solidFill>
              <w14:schemeClr w14:val="tx1"/>
            </w14:solidFill>
          </w14:textFill>
        </w:rPr>
        <w:t>三</w:t>
      </w:r>
      <w:r>
        <w:rPr>
          <w:rFonts w:hint="eastAsia" w:eastAsia="仿宋_GB2312"/>
          <w:color w:val="000000" w:themeColor="text1"/>
          <w:kern w:val="0"/>
          <w:szCs w:val="32"/>
          <w:highlight w:val="none"/>
          <w14:textFill>
            <w14:solidFill>
              <w14:schemeClr w14:val="tx1"/>
            </w14:solidFill>
          </w14:textFill>
        </w:rPr>
        <w:t>方核对的文件资料上注明具体情况，将当天工作签到表和核对后的资料寄发给承包人、分包人，该资料即作为</w:t>
      </w:r>
      <w:r>
        <w:rPr>
          <w:rFonts w:hint="eastAsia" w:ascii="Times New Roman" w:hAnsi="Times New Roman" w:eastAsia="仿宋_GB2312"/>
          <w:color w:val="000000" w:themeColor="text1"/>
          <w:kern w:val="0"/>
          <w:szCs w:val="32"/>
          <w:highlight w:val="none"/>
          <w14:textFill>
            <w14:solidFill>
              <w14:schemeClr w14:val="tx1"/>
            </w14:solidFill>
          </w14:textFill>
        </w:rPr>
        <w:t>三</w:t>
      </w:r>
      <w:r>
        <w:rPr>
          <w:rFonts w:hint="eastAsia" w:eastAsia="仿宋_GB2312"/>
          <w:color w:val="000000" w:themeColor="text1"/>
          <w:kern w:val="0"/>
          <w:szCs w:val="32"/>
          <w:highlight w:val="none"/>
          <w14:textFill>
            <w14:solidFill>
              <w14:schemeClr w14:val="tx1"/>
            </w14:solidFill>
          </w14:textFill>
        </w:rPr>
        <w:t>方共同对数后确认的结算资料。对于</w:t>
      </w:r>
      <w:r>
        <w:rPr>
          <w:rFonts w:hint="eastAsia" w:ascii="Times New Roman" w:hAnsi="Times New Roman" w:eastAsia="仿宋_GB2312"/>
          <w:color w:val="000000" w:themeColor="text1"/>
          <w:kern w:val="0"/>
          <w:szCs w:val="32"/>
          <w:highlight w:val="none"/>
          <w14:textFill>
            <w14:solidFill>
              <w14:schemeClr w14:val="tx1"/>
            </w14:solidFill>
          </w14:textFill>
        </w:rPr>
        <w:t>三</w:t>
      </w:r>
      <w:r>
        <w:rPr>
          <w:rFonts w:hint="eastAsia" w:eastAsia="仿宋_GB2312"/>
          <w:color w:val="000000" w:themeColor="text1"/>
          <w:kern w:val="0"/>
          <w:szCs w:val="32"/>
          <w:highlight w:val="none"/>
          <w14:textFill>
            <w14:solidFill>
              <w14:schemeClr w14:val="tx1"/>
            </w14:solidFill>
          </w14:textFill>
        </w:rPr>
        <w:t>方意见分歧的书面记录，经</w:t>
      </w:r>
      <w:r>
        <w:rPr>
          <w:rFonts w:hint="eastAsia" w:ascii="Times New Roman" w:hAnsi="Times New Roman" w:eastAsia="仿宋_GB2312"/>
          <w:color w:val="000000" w:themeColor="text1"/>
          <w:kern w:val="0"/>
          <w:szCs w:val="32"/>
          <w:highlight w:val="none"/>
          <w14:textFill>
            <w14:solidFill>
              <w14:schemeClr w14:val="tx1"/>
            </w14:solidFill>
          </w14:textFill>
        </w:rPr>
        <w:t>三</w:t>
      </w:r>
      <w:r>
        <w:rPr>
          <w:rFonts w:hint="eastAsia" w:eastAsia="仿宋_GB2312"/>
          <w:color w:val="000000" w:themeColor="text1"/>
          <w:kern w:val="0"/>
          <w:szCs w:val="32"/>
          <w:highlight w:val="none"/>
          <w14:textFill>
            <w14:solidFill>
              <w14:schemeClr w14:val="tx1"/>
            </w14:solidFill>
          </w14:textFill>
        </w:rPr>
        <w:t>方对数人员共同核对清楚并签字确认后，上报领导协商解决任何人员不得因意见分歧而发生争执、对骂，甚至侮辱、殴打对方。如发生上述事件，受害方有权向侵权方索赔，由侵权方承担一切法律责任。分包人、承包人在结算期间，不按照发包人要求的时间或期限与发包人对数的，或者经过</w:t>
      </w:r>
      <w:r>
        <w:rPr>
          <w:rFonts w:hint="eastAsia" w:ascii="Times New Roman" w:hAnsi="Times New Roman" w:eastAsia="仿宋_GB2312"/>
          <w:color w:val="000000" w:themeColor="text1"/>
          <w:kern w:val="0"/>
          <w:szCs w:val="32"/>
          <w:highlight w:val="none"/>
          <w14:textFill>
            <w14:solidFill>
              <w14:schemeClr w14:val="tx1"/>
            </w14:solidFill>
          </w14:textFill>
        </w:rPr>
        <w:t>三</w:t>
      </w:r>
      <w:r>
        <w:rPr>
          <w:rFonts w:hint="eastAsia" w:eastAsia="仿宋_GB2312"/>
          <w:color w:val="000000" w:themeColor="text1"/>
          <w:kern w:val="0"/>
          <w:szCs w:val="32"/>
          <w:highlight w:val="none"/>
          <w14:textFill>
            <w14:solidFill>
              <w14:schemeClr w14:val="tx1"/>
            </w14:solidFill>
          </w14:textFill>
        </w:rPr>
        <w:t>方共同对数但分包人不签字对数结果的，或者推翻经过</w:t>
      </w:r>
      <w:r>
        <w:rPr>
          <w:rFonts w:hint="eastAsia" w:ascii="Times New Roman" w:hAnsi="Times New Roman" w:eastAsia="仿宋_GB2312"/>
          <w:color w:val="000000" w:themeColor="text1"/>
          <w:kern w:val="0"/>
          <w:szCs w:val="32"/>
          <w:highlight w:val="none"/>
          <w14:textFill>
            <w14:solidFill>
              <w14:schemeClr w14:val="tx1"/>
            </w14:solidFill>
          </w14:textFill>
        </w:rPr>
        <w:t>三</w:t>
      </w:r>
      <w:r>
        <w:rPr>
          <w:rFonts w:hint="eastAsia" w:eastAsia="仿宋_GB2312"/>
          <w:color w:val="000000" w:themeColor="text1"/>
          <w:kern w:val="0"/>
          <w:szCs w:val="32"/>
          <w:highlight w:val="none"/>
          <w14:textFill>
            <w14:solidFill>
              <w14:schemeClr w14:val="tx1"/>
            </w14:solidFill>
          </w14:textFill>
        </w:rPr>
        <w:t>方共同确认的对数成果的，发包人办理结算的时间向后顺延，期间不须支付剩余工程款，由分包人承担结算延误的违约责任。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10</w:t>
      </w:r>
      <w:r>
        <w:rPr>
          <w:rFonts w:hint="eastAsia"/>
          <w:color w:val="000000" w:themeColor="text1"/>
          <w:highlight w:val="none"/>
          <w14:textFill>
            <w14:solidFill>
              <w14:schemeClr w14:val="tx1"/>
            </w14:solidFill>
          </w14:textFill>
        </w:rPr>
        <w:t>）分包人延迟提供完整、有效的结算书的，每延迟1天，须向承包人支付500元/天的违约金。分包人拒不配合竣工结算的，发包人有权进行单面结算或委托第三方中介机构结算。结算结果送达分包人后15天内分包人未向发包人反馈结算书面确认信息的，视为分包人已默认并同意结算结果。该等情形下，分包人需通过承包人向发包人支付签约合同价格的</w:t>
      </w:r>
      <w:r>
        <w:rPr>
          <w:color w:val="000000" w:themeColor="text1"/>
          <w:highlight w:val="none"/>
          <w14:textFill>
            <w14:solidFill>
              <w14:schemeClr w14:val="tx1"/>
            </w14:solidFill>
          </w14:textFill>
        </w:rPr>
        <w:t>0.5%</w:t>
      </w:r>
      <w:r>
        <w:rPr>
          <w:rFonts w:hint="eastAsia"/>
          <w:color w:val="000000" w:themeColor="text1"/>
          <w:highlight w:val="none"/>
          <w14:textFill>
            <w14:solidFill>
              <w14:schemeClr w14:val="tx1"/>
            </w14:solidFill>
          </w14:textFill>
        </w:rPr>
        <w:t>作为结算编制费用，同时应向承包人按签约合同价格的0.5%支付违约金，且经发包人同意，承包人有权在应付分包人的工程款中直接扣留该款项。</w:t>
      </w:r>
    </w:p>
    <w:p>
      <w:pPr>
        <w:pStyle w:val="73"/>
        <w:rPr>
          <w:color w:val="000000" w:themeColor="text1"/>
          <w:highlight w:val="none"/>
          <w14:textFill>
            <w14:solidFill>
              <w14:schemeClr w14:val="tx1"/>
            </w14:solidFill>
          </w14:textFill>
        </w:rPr>
      </w:pPr>
      <w:bookmarkStart w:id="811" w:name="_Toc44228170"/>
      <w:bookmarkStart w:id="812" w:name="_Toc44492611"/>
      <w:bookmarkStart w:id="813" w:name="_Toc29108"/>
      <w:bookmarkStart w:id="814" w:name="_Toc10784"/>
      <w:bookmarkStart w:id="815" w:name="_Toc38987287"/>
      <w:bookmarkStart w:id="816" w:name="_Toc9837"/>
      <w:bookmarkStart w:id="817" w:name="_Toc91082452"/>
      <w:r>
        <w:rPr>
          <w:rFonts w:hint="eastAsia"/>
          <w:color w:val="000000" w:themeColor="text1"/>
          <w:highlight w:val="none"/>
          <w14:textFill>
            <w14:solidFill>
              <w14:schemeClr w14:val="tx1"/>
            </w14:solidFill>
          </w14:textFill>
        </w:rPr>
        <w:t>18.竣工验收</w:t>
      </w:r>
      <w:bookmarkEnd w:id="811"/>
      <w:bookmarkEnd w:id="812"/>
      <w:bookmarkEnd w:id="813"/>
      <w:bookmarkEnd w:id="814"/>
      <w:bookmarkEnd w:id="815"/>
      <w:bookmarkEnd w:id="816"/>
      <w:bookmarkEnd w:id="817"/>
    </w:p>
    <w:p>
      <w:pPr>
        <w:pStyle w:val="77"/>
        <w:ind w:firstLine="480"/>
        <w:rPr>
          <w:color w:val="000000" w:themeColor="text1"/>
          <w:highlight w:val="none"/>
          <w14:textFill>
            <w14:solidFill>
              <w14:schemeClr w14:val="tx1"/>
            </w14:solidFill>
          </w14:textFill>
        </w:rPr>
      </w:pPr>
      <w:bookmarkStart w:id="818" w:name="_Toc29777"/>
      <w:bookmarkStart w:id="819" w:name="_Toc23922"/>
      <w:bookmarkStart w:id="820" w:name="_Toc44492612"/>
      <w:r>
        <w:rPr>
          <w:rFonts w:hint="eastAsia"/>
          <w:color w:val="000000" w:themeColor="text1"/>
          <w:highlight w:val="none"/>
          <w14:textFill>
            <w14:solidFill>
              <w14:schemeClr w14:val="tx1"/>
            </w14:solidFill>
          </w14:textFill>
        </w:rPr>
        <w:t>18.3. 验收</w:t>
      </w:r>
      <w:bookmarkEnd w:id="818"/>
      <w:bookmarkEnd w:id="819"/>
      <w:bookmarkEnd w:id="820"/>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18.3.2. 通用条款第18.3.2修订为：工程竣工验收包括整体工程竣工验收（指按照相关规定，在政府主管部门立项的项目在竣工备案前须完成的整体工程竣工验收，包括总承包施工范围及专用工程施工范围）与专业承包工程竣工验收（指本合同约定的分包人施工范围内的工程项目竣工验收）。本合同竣工验收通常指专业分包工程竣工验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竣工验收前分包人应组织自检并根据检查结果整改合格后，通过承包人向监理人提出书面竣工验收申请。经发包人组织承包人、分包人、监理人、设计人等进行验收，验收合格后，参验单位签发并盖章确认的工程竣工验收通过并合格证明文件，并在规定时间内向发包人或发包人指定的第三方办理工程移交手续。竣工验收通过且合格日期即为实际竣工验收合格日期。</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发包人验收后同意接收工程但提出整修和完善要求的，按甩项竣工验收处理。需整修和完善的具体内容应在竣工验收的相关资料内载明，并明确整修完成期限，分包人须按期整修和完善。甩项验收工作内容完成后，分包人通过承包人向监理人申报查验，经监理人组织相关单位复查达到要求的，经发包人同意后，发包人、监理人、承包人、分包人等参验单位书面确认并签发甩项竣工验收通过并合格的证明文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18.3.7.  竣工验收资料要求如下：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在申请工程验收（含工程竣工验收、甩项竣工验收和单位工程验收）之前，应提前7天以上按照任何有关管理机构的要求以及政府关于档案管理的规定进行整理和装订全套竣工资料（含竣工图）并保证其正确性、有效性和完整性，并在申请时将竣工资料和竣工图纸提交给发包人或承包人。所有专业分工程的验收资料（含竣工图纸）由相应的专业工程分包人准备和编制，但由本工程承包人负责审查、汇总和装订。分包人完成竣工图纸编制后应报承包人、监理单位、设计单位、发包人审核，并根据审核意见及时据实修改。经承包人、监理单位、设计单位、发包人审核通过的竣工图，由分包人按本合同约定的相关要求负责打印晒图，组织各审核单位签字确认并盖章。竣工验收资料（含竣工图）应包含纸版与电子版格式，竣工图电子版应满足工程所在地政府主管部门有关竣工图电子文档的软件格式与版本要求，同时分包人应向发包人提供与竣工图对应的C</w:t>
      </w:r>
      <w:r>
        <w:rPr>
          <w:color w:val="000000" w:themeColor="text1"/>
          <w:highlight w:val="none"/>
          <w14:textFill>
            <w14:solidFill>
              <w14:schemeClr w14:val="tx1"/>
            </w14:solidFill>
          </w14:textFill>
        </w:rPr>
        <w:t>AD电子版本</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 竣工验收资料的份数：</w:t>
      </w:r>
      <w:r>
        <w:rPr>
          <w:rFonts w:hint="eastAsia"/>
          <w:color w:val="000000" w:themeColor="text1"/>
          <w:highlight w:val="none"/>
          <w:u w:val="single"/>
          <w14:textFill>
            <w14:solidFill>
              <w14:schemeClr w14:val="tx1"/>
            </w14:solidFill>
          </w14:textFill>
        </w:rPr>
        <w:t>陆</w:t>
      </w:r>
      <w:r>
        <w:rPr>
          <w:rFonts w:hint="eastAsia"/>
          <w:color w:val="000000" w:themeColor="text1"/>
          <w:highlight w:val="none"/>
          <w14:textFill>
            <w14:solidFill>
              <w14:schemeClr w14:val="tx1"/>
            </w14:solidFill>
          </w14:textFill>
        </w:rPr>
        <w:t>份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竣工验收资料的费用支付方式：</w:t>
      </w:r>
      <w:r>
        <w:rPr>
          <w:rFonts w:hint="eastAsia"/>
          <w:color w:val="000000" w:themeColor="text1"/>
          <w:highlight w:val="none"/>
          <w:u w:val="single"/>
          <w14:textFill>
            <w14:solidFill>
              <w14:schemeClr w14:val="tx1"/>
            </w14:solidFill>
          </w14:textFill>
        </w:rPr>
        <w:t>已包含在合同价款中，发包人无需另行支付</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 分包人延迟提供符合以上规定的竣工图纸及竣工资料的，每延迟1天，须支付相当于合同签约合同价格</w:t>
      </w:r>
      <w:r>
        <w:rPr>
          <w:rFonts w:hint="eastAsia"/>
          <w:color w:val="000000" w:themeColor="text1"/>
          <w:highlight w:val="none"/>
          <w:u w:val="single"/>
          <w14:textFill>
            <w14:solidFill>
              <w14:schemeClr w14:val="tx1"/>
            </w14:solidFill>
          </w14:textFill>
        </w:rPr>
        <w:t>万分之五</w:t>
      </w:r>
      <w:r>
        <w:rPr>
          <w:rFonts w:hint="eastAsia"/>
          <w:color w:val="000000" w:themeColor="text1"/>
          <w:highlight w:val="none"/>
          <w14:textFill>
            <w14:solidFill>
              <w14:schemeClr w14:val="tx1"/>
            </w14:solidFill>
          </w14:textFill>
        </w:rPr>
        <w:t>的违约金。</w:t>
      </w:r>
    </w:p>
    <w:p>
      <w:pPr>
        <w:pStyle w:val="77"/>
        <w:ind w:firstLine="480"/>
        <w:rPr>
          <w:color w:val="000000" w:themeColor="text1"/>
          <w:highlight w:val="none"/>
          <w14:textFill>
            <w14:solidFill>
              <w14:schemeClr w14:val="tx1"/>
            </w14:solidFill>
          </w14:textFill>
        </w:rPr>
      </w:pPr>
      <w:bookmarkStart w:id="821" w:name="_Toc27749"/>
      <w:bookmarkStart w:id="822" w:name="_Toc3516"/>
      <w:bookmarkStart w:id="823" w:name="_Toc44492613"/>
      <w:r>
        <w:rPr>
          <w:rFonts w:hint="eastAsia"/>
          <w:color w:val="000000" w:themeColor="text1"/>
          <w:highlight w:val="none"/>
          <w14:textFill>
            <w14:solidFill>
              <w14:schemeClr w14:val="tx1"/>
            </w14:solidFill>
          </w14:textFill>
        </w:rPr>
        <w:t>18.4. 施工期运行</w:t>
      </w:r>
      <w:bookmarkEnd w:id="821"/>
      <w:bookmarkEnd w:id="822"/>
      <w:bookmarkEnd w:id="823"/>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18.4.1. 需要施工期运行的单位工程或设备安装工程：</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p>
    <w:p>
      <w:pPr>
        <w:pStyle w:val="77"/>
        <w:ind w:firstLine="480"/>
        <w:rPr>
          <w:color w:val="000000" w:themeColor="text1"/>
          <w:highlight w:val="none"/>
          <w14:textFill>
            <w14:solidFill>
              <w14:schemeClr w14:val="tx1"/>
            </w14:solidFill>
          </w14:textFill>
        </w:rPr>
      </w:pPr>
      <w:bookmarkStart w:id="824" w:name="_Toc26667"/>
      <w:bookmarkStart w:id="825" w:name="_Toc44492614"/>
      <w:bookmarkStart w:id="826" w:name="_Toc11828"/>
      <w:r>
        <w:rPr>
          <w:rFonts w:hint="eastAsia"/>
          <w:color w:val="000000" w:themeColor="text1"/>
          <w:highlight w:val="none"/>
          <w14:textFill>
            <w14:solidFill>
              <w14:schemeClr w14:val="tx1"/>
            </w14:solidFill>
          </w14:textFill>
        </w:rPr>
        <w:t>18.5. 试运行</w:t>
      </w:r>
      <w:bookmarkEnd w:id="824"/>
      <w:bookmarkEnd w:id="825"/>
      <w:bookmarkEnd w:id="826"/>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18.5.1. 需要试运行的单位工程或设备安装工程：</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18.5.3 试运行全部费用（包括但不限于水、电、汽费用，原材料费、人工费、检测费等）已含在合同签约合同价格内，由分包人承担。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18.5.4 试运行的内容、范围及试运行时间具体要求：</w:t>
      </w:r>
      <w:r>
        <w:rPr>
          <w:rFonts w:hint="eastAsia"/>
          <w:color w:val="000000" w:themeColor="text1"/>
          <w:highlight w:val="none"/>
          <w:u w:val="single"/>
          <w14:textFill>
            <w14:solidFill>
              <w14:schemeClr w14:val="tx1"/>
            </w14:solidFill>
          </w14:textFill>
        </w:rPr>
        <w:t xml:space="preserve">  无。</w:t>
      </w:r>
      <w:r>
        <w:rPr>
          <w:rFonts w:hint="eastAsia"/>
          <w:color w:val="000000" w:themeColor="text1"/>
          <w:highlight w:val="none"/>
          <w14:textFill>
            <w14:solidFill>
              <w14:schemeClr w14:val="tx1"/>
            </w14:solidFill>
          </w14:textFill>
        </w:rPr>
        <w:t xml:space="preserve">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18.5.5. 试运行达不到验收要求的，按下列规定处理： </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a.由于设计原因试运行达不到验收要求，发包人应要求设计单位修改设计，分包人按修改后的设计重新安装。发包人承担修改设计、拆除及重新安装的全部费用，工期相应顺延。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b.由于设备制造质量原因试运行达不到验收要求，由该责任方负责重新购置或修理，分包人负责拆除和重新安装。设备由分包人采购的，由分包人承担修理或重新采购、拆除及重新安装的费用，工期不予顺延；设备由发包人供应的，发包人承担上述各项费用，并列入合同价款，工期相应顺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c.由于分包人施工原因试运行达不到验收要求，分包人按监理工程师要求重新安装和试运行，并承担拆除、重新安装和重新试运行的费用，工期不予顺延。</w:t>
      </w:r>
    </w:p>
    <w:p>
      <w:pPr>
        <w:pStyle w:val="77"/>
        <w:ind w:firstLine="480"/>
        <w:rPr>
          <w:color w:val="000000" w:themeColor="text1"/>
          <w:highlight w:val="none"/>
          <w14:textFill>
            <w14:solidFill>
              <w14:schemeClr w14:val="tx1"/>
            </w14:solidFill>
          </w14:textFill>
        </w:rPr>
      </w:pPr>
      <w:bookmarkStart w:id="827" w:name="_Toc44492615"/>
      <w:bookmarkStart w:id="828" w:name="_Toc1405"/>
      <w:bookmarkStart w:id="829" w:name="_Toc15553"/>
      <w:r>
        <w:rPr>
          <w:rFonts w:hint="eastAsia"/>
          <w:color w:val="000000" w:themeColor="text1"/>
          <w:highlight w:val="none"/>
          <w14:textFill>
            <w14:solidFill>
              <w14:schemeClr w14:val="tx1"/>
            </w14:solidFill>
          </w14:textFill>
        </w:rPr>
        <w:t>18.7. 施工队伍的撤离</w:t>
      </w:r>
      <w:bookmarkEnd w:id="827"/>
      <w:bookmarkEnd w:id="828"/>
      <w:bookmarkEnd w:id="82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18.7.1. 分包人全部退场的时间为本工程竣工验收合格且移交后</w:t>
      </w:r>
      <w:r>
        <w:rPr>
          <w:rFonts w:hint="eastAsia"/>
          <w:color w:val="000000" w:themeColor="text1"/>
          <w:highlight w:val="none"/>
          <w:u w:val="single"/>
          <w14:textFill>
            <w14:solidFill>
              <w14:schemeClr w14:val="tx1"/>
            </w14:solidFill>
          </w14:textFill>
        </w:rPr>
        <w:t>1</w:t>
      </w:r>
      <w:r>
        <w:rPr>
          <w:color w:val="000000" w:themeColor="text1"/>
          <w:highlight w:val="none"/>
          <w:u w:val="single"/>
          <w14:textFill>
            <w14:solidFill>
              <w14:schemeClr w14:val="tx1"/>
            </w14:solidFill>
          </w14:textFill>
        </w:rPr>
        <w:t>5</w:t>
      </w:r>
      <w:r>
        <w:rPr>
          <w:rFonts w:hint="eastAsia"/>
          <w:color w:val="000000" w:themeColor="text1"/>
          <w:highlight w:val="none"/>
          <w14:textFill>
            <w14:solidFill>
              <w14:schemeClr w14:val="tx1"/>
            </w14:solidFill>
          </w14:textFill>
        </w:rPr>
        <w:t>天及以内，每迟延一天，分包人应向承包人或发包人支付人民币</w:t>
      </w:r>
      <w:r>
        <w:rPr>
          <w:rFonts w:hint="eastAsia"/>
          <w:color w:val="000000" w:themeColor="text1"/>
          <w:highlight w:val="none"/>
          <w:u w:val="single"/>
          <w14:textFill>
            <w14:solidFill>
              <w14:schemeClr w14:val="tx1"/>
            </w14:solidFill>
          </w14:textFill>
        </w:rPr>
        <w:t xml:space="preserve"> </w:t>
      </w:r>
      <w:r>
        <w:rPr>
          <w:color w:val="000000" w:themeColor="text1"/>
          <w:highlight w:val="none"/>
          <w:u w:val="single"/>
          <w14:textFill>
            <w14:solidFill>
              <w14:schemeClr w14:val="tx1"/>
            </w14:solidFill>
          </w14:textFill>
        </w:rPr>
        <w:t>5000</w:t>
      </w:r>
      <w:r>
        <w:rPr>
          <w:rFonts w:hint="eastAsia"/>
          <w:color w:val="000000" w:themeColor="text1"/>
          <w:highlight w:val="none"/>
          <w14:textFill>
            <w14:solidFill>
              <w14:schemeClr w14:val="tx1"/>
            </w14:solidFill>
          </w14:textFill>
        </w:rPr>
        <w:t>元违约金。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18.7.2.分包人不得因与发包人的工程款纠纷、其他纠纷或其他任何原因占据现场，拒绝撤离，否则按照迟延撤离承担违约责任。</w:t>
      </w:r>
    </w:p>
    <w:p>
      <w:pPr>
        <w:pStyle w:val="73"/>
        <w:rPr>
          <w:color w:val="000000" w:themeColor="text1"/>
          <w:highlight w:val="none"/>
          <w14:textFill>
            <w14:solidFill>
              <w14:schemeClr w14:val="tx1"/>
            </w14:solidFill>
          </w14:textFill>
        </w:rPr>
      </w:pPr>
      <w:bookmarkStart w:id="830" w:name="_Toc19809"/>
      <w:bookmarkStart w:id="831" w:name="_Toc1433"/>
      <w:bookmarkStart w:id="832" w:name="_Toc44492616"/>
      <w:bookmarkStart w:id="833" w:name="_Toc30044"/>
      <w:bookmarkStart w:id="834" w:name="_Toc44228171"/>
      <w:bookmarkStart w:id="835" w:name="_Toc38987288"/>
      <w:bookmarkStart w:id="836" w:name="_Toc91082453"/>
      <w:r>
        <w:rPr>
          <w:rFonts w:hint="eastAsia"/>
          <w:color w:val="000000" w:themeColor="text1"/>
          <w:highlight w:val="none"/>
          <w14:textFill>
            <w14:solidFill>
              <w14:schemeClr w14:val="tx1"/>
            </w14:solidFill>
          </w14:textFill>
        </w:rPr>
        <w:t>19.缺陷责任</w:t>
      </w:r>
      <w:bookmarkEnd w:id="830"/>
      <w:bookmarkEnd w:id="831"/>
      <w:bookmarkEnd w:id="832"/>
      <w:bookmarkEnd w:id="833"/>
      <w:bookmarkEnd w:id="834"/>
      <w:bookmarkEnd w:id="835"/>
      <w:bookmarkStart w:id="837" w:name="_Toc9017"/>
      <w:bookmarkStart w:id="838" w:name="_Toc44492617"/>
      <w:bookmarkStart w:id="839" w:name="_Toc15926"/>
      <w:r>
        <w:rPr>
          <w:rFonts w:hint="eastAsia"/>
          <w:color w:val="000000" w:themeColor="text1"/>
          <w:highlight w:val="none"/>
          <w14:textFill>
            <w14:solidFill>
              <w14:schemeClr w14:val="tx1"/>
            </w14:solidFill>
          </w14:textFill>
        </w:rPr>
        <w:t>与保修</w:t>
      </w:r>
      <w:bookmarkEnd w:id="836"/>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 xml:space="preserve"> 缺陷责任期</w:t>
      </w:r>
      <w:bookmarkEnd w:id="837"/>
      <w:bookmarkEnd w:id="838"/>
      <w:bookmarkEnd w:id="83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19.2.1. 本合同中的缺陷责任期为两年，自项目</w:t>
      </w:r>
      <w:r>
        <w:rPr>
          <w:rFonts w:hint="eastAsia"/>
          <w:color w:val="000000" w:themeColor="text1"/>
          <w:highlight w:val="none"/>
          <w:u w:val="single"/>
          <w14:textFill>
            <w14:solidFill>
              <w14:schemeClr w14:val="tx1"/>
            </w14:solidFill>
          </w14:textFill>
        </w:rPr>
        <w:t xml:space="preserve">竣工验收合格之日 </w:t>
      </w:r>
      <w:r>
        <w:rPr>
          <w:rFonts w:hint="eastAsia"/>
          <w:color w:val="000000" w:themeColor="text1"/>
          <w:highlight w:val="none"/>
          <w14:textFill>
            <w14:solidFill>
              <w14:schemeClr w14:val="tx1"/>
            </w14:solidFill>
          </w14:textFill>
        </w:rPr>
        <w:t>起计算，缺陷责任</w:t>
      </w:r>
      <w:r>
        <w:rPr>
          <w:color w:val="000000" w:themeColor="text1"/>
          <w:highlight w:val="none"/>
          <w14:textFill>
            <w14:solidFill>
              <w14:schemeClr w14:val="tx1"/>
            </w14:solidFill>
          </w14:textFill>
        </w:rPr>
        <w:t>期内，</w:t>
      </w:r>
      <w:r>
        <w:rPr>
          <w:rFonts w:hint="eastAsia"/>
          <w:color w:val="000000" w:themeColor="text1"/>
          <w:highlight w:val="none"/>
          <w14:textFill>
            <w14:solidFill>
              <w14:schemeClr w14:val="tx1"/>
            </w14:solidFill>
          </w14:textFill>
        </w:rPr>
        <w:t>由</w:t>
      </w:r>
      <w:r>
        <w:rPr>
          <w:color w:val="000000" w:themeColor="text1"/>
          <w:highlight w:val="none"/>
          <w14:textFill>
            <w14:solidFill>
              <w14:schemeClr w14:val="tx1"/>
            </w14:solidFill>
          </w14:textFill>
        </w:rPr>
        <w:t>分包人原因造成的缺陷，</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应负责维修，并承担鉴定及维修费用</w:t>
      </w:r>
      <w:r>
        <w:rPr>
          <w:rFonts w:hint="eastAsia"/>
          <w:color w:val="000000" w:themeColor="text1"/>
          <w:highlight w:val="none"/>
          <w14:textFill>
            <w14:solidFill>
              <w14:schemeClr w14:val="tx1"/>
            </w14:solidFill>
          </w14:textFill>
        </w:rPr>
        <w:t>。如</w:t>
      </w:r>
      <w:r>
        <w:rPr>
          <w:color w:val="000000" w:themeColor="text1"/>
          <w:highlight w:val="none"/>
          <w14:textFill>
            <w14:solidFill>
              <w14:schemeClr w14:val="tx1"/>
            </w14:solidFill>
          </w14:textFill>
        </w:rPr>
        <w:t>分包人不维修也不承担费用，</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可按合同约定从预留的</w:t>
      </w:r>
      <w:r>
        <w:rPr>
          <w:rFonts w:hint="eastAsia"/>
          <w:color w:val="000000" w:themeColor="text1"/>
          <w:highlight w:val="none"/>
          <w14:textFill>
            <w14:solidFill>
              <w14:schemeClr w14:val="tx1"/>
            </w14:solidFill>
          </w14:textFill>
        </w:rPr>
        <w:t>质量</w:t>
      </w:r>
      <w:r>
        <w:rPr>
          <w:color w:val="000000" w:themeColor="text1"/>
          <w:highlight w:val="none"/>
          <w14:textFill>
            <w14:solidFill>
              <w14:schemeClr w14:val="tx1"/>
            </w14:solidFill>
          </w14:textFill>
        </w:rPr>
        <w:t>保证金中扣除，费用超出</w:t>
      </w:r>
      <w:r>
        <w:rPr>
          <w:rFonts w:hint="eastAsia"/>
          <w:color w:val="000000" w:themeColor="text1"/>
          <w:highlight w:val="none"/>
          <w14:textFill>
            <w14:solidFill>
              <w14:schemeClr w14:val="tx1"/>
            </w14:solidFill>
          </w14:textFill>
        </w:rPr>
        <w:t>质量</w:t>
      </w:r>
      <w:r>
        <w:rPr>
          <w:color w:val="000000" w:themeColor="text1"/>
          <w:highlight w:val="none"/>
          <w14:textFill>
            <w14:solidFill>
              <w14:schemeClr w14:val="tx1"/>
            </w14:solidFill>
          </w14:textFill>
        </w:rPr>
        <w:t>保证金金额的，</w:t>
      </w:r>
      <w:r>
        <w:rPr>
          <w:rFonts w:hint="eastAsia"/>
          <w:color w:val="000000" w:themeColor="text1"/>
          <w:highlight w:val="none"/>
          <w14:textFill>
            <w14:solidFill>
              <w14:schemeClr w14:val="tx1"/>
            </w14:solidFill>
          </w14:textFill>
        </w:rPr>
        <w:t>承包人应补足。</w:t>
      </w:r>
      <w:r>
        <w:rPr>
          <w:color w:val="000000" w:themeColor="text1"/>
          <w:highlight w:val="none"/>
          <w14:textFill>
            <w14:solidFill>
              <w14:schemeClr w14:val="tx1"/>
            </w14:solidFill>
          </w14:textFill>
        </w:rPr>
        <w:t>分包人</w:t>
      </w:r>
      <w:r>
        <w:rPr>
          <w:rFonts w:hint="eastAsia"/>
          <w:color w:val="000000" w:themeColor="text1"/>
          <w:highlight w:val="none"/>
          <w14:textFill>
            <w14:solidFill>
              <w14:schemeClr w14:val="tx1"/>
            </w14:solidFill>
          </w14:textFill>
        </w:rPr>
        <w:t>维修</w:t>
      </w:r>
      <w:r>
        <w:rPr>
          <w:color w:val="000000" w:themeColor="text1"/>
          <w:highlight w:val="none"/>
          <w14:textFill>
            <w14:solidFill>
              <w14:schemeClr w14:val="tx1"/>
            </w14:solidFill>
          </w14:textFill>
        </w:rPr>
        <w:t>并承担相应费用后，不免除对工程</w:t>
      </w:r>
      <w:r>
        <w:rPr>
          <w:rFonts w:hint="eastAsia"/>
          <w:color w:val="000000" w:themeColor="text1"/>
          <w:highlight w:val="none"/>
          <w14:textFill>
            <w14:solidFill>
              <w14:schemeClr w14:val="tx1"/>
            </w14:solidFill>
          </w14:textFill>
        </w:rPr>
        <w:t>的</w:t>
      </w:r>
      <w:r>
        <w:rPr>
          <w:color w:val="000000" w:themeColor="text1"/>
          <w:highlight w:val="none"/>
          <w14:textFill>
            <w14:solidFill>
              <w14:schemeClr w14:val="tx1"/>
            </w14:solidFill>
          </w14:textFill>
        </w:rPr>
        <w:t>损失赔偿责任。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工程质量</w:t>
      </w:r>
      <w:r>
        <w:rPr>
          <w:rFonts w:hint="eastAsia"/>
          <w:color w:val="000000" w:themeColor="text1"/>
          <w:highlight w:val="none"/>
          <w14:textFill>
            <w14:solidFill>
              <w14:schemeClr w14:val="tx1"/>
            </w14:solidFill>
          </w14:textFill>
        </w:rPr>
        <w:t>保修时间、责任及程序详细约定见附件5 《工程质量保修书》。</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缺陷责任程序</w:t>
      </w:r>
    </w:p>
    <w:p>
      <w:pPr>
        <w:pStyle w:val="77"/>
        <w:ind w:firstLine="48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w:t>
      </w:r>
      <w:r>
        <w:rPr>
          <w:color w:val="000000" w:themeColor="text1"/>
          <w:highlight w:val="none"/>
          <w14:textFill>
            <w14:solidFill>
              <w14:schemeClr w14:val="tx1"/>
            </w14:solidFill>
          </w14:textFill>
        </w:rPr>
        <w:t xml:space="preserve">.4 </w:t>
      </w:r>
      <w:r>
        <w:rPr>
          <w:rFonts w:hint="eastAsia"/>
          <w:color w:val="000000" w:themeColor="text1"/>
          <w:highlight w:val="none"/>
          <w14:textFill>
            <w14:solidFill>
              <w14:schemeClr w14:val="tx1"/>
            </w14:solidFill>
          </w14:textFill>
        </w:rPr>
        <w:t>保修</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19.4.1</w:t>
      </w:r>
      <w:r>
        <w:rPr>
          <w:color w:val="000000" w:themeColor="text1"/>
          <w:highlight w:val="none"/>
          <w14:textFill>
            <w14:solidFill>
              <w14:schemeClr w14:val="tx1"/>
            </w14:solidFill>
          </w14:textFill>
        </w:rPr>
        <w:t xml:space="preserve"> </w:t>
      </w:r>
      <w:r>
        <w:rPr>
          <w:rFonts w:hint="eastAsia"/>
          <w:color w:val="000000" w:themeColor="text1"/>
          <w:highlight w:val="none"/>
          <w14:textFill>
            <w14:solidFill>
              <w14:schemeClr w14:val="tx1"/>
            </w14:solidFill>
          </w14:textFill>
        </w:rPr>
        <w:t>保修责任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工程</w:t>
      </w:r>
      <w:r>
        <w:rPr>
          <w:rFonts w:hint="eastAsia" w:ascii="仿宋_GB2312" w:hAnsi="宋体"/>
          <w:color w:val="000000" w:themeColor="text1"/>
          <w:highlight w:val="none"/>
          <w14:textFill>
            <w14:solidFill>
              <w14:schemeClr w14:val="tx1"/>
            </w14:solidFill>
          </w14:textFill>
        </w:rPr>
        <w:t>质量</w:t>
      </w:r>
      <w:r>
        <w:rPr>
          <w:rFonts w:hint="eastAsia"/>
          <w:color w:val="000000" w:themeColor="text1"/>
          <w:highlight w:val="none"/>
          <w14:textFill>
            <w14:solidFill>
              <w14:schemeClr w14:val="tx1"/>
            </w14:solidFill>
          </w14:textFill>
        </w:rPr>
        <w:t>保修期及质量保修责任详见合同附件5“工程质量保修书”。工程竣工验收后，按合同附件5格式签订《工程质量保修书》。</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19.4.</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 修复通知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在保修期内，发包人在使用过程中，发现已接收的工程存在缺陷或损坏的，应书面通知承包人、分包人予以修复，但情况紧急必须立即修复缺陷或损坏的，发包人可以口头通知承包人、分包人并在口头通知后48小时内书面确认，分包人按合同附件5“工程质量保修书”</w:t>
      </w:r>
      <w:r>
        <w:rPr>
          <w:rFonts w:hint="eastAsia"/>
          <w:color w:val="000000" w:themeColor="text1"/>
          <w:highlight w:val="none"/>
          <w:u w:val="single"/>
          <w14:textFill>
            <w14:solidFill>
              <w14:schemeClr w14:val="tx1"/>
            </w14:solidFill>
          </w14:textFill>
        </w:rPr>
        <w:t>约定</w:t>
      </w:r>
      <w:r>
        <w:rPr>
          <w:rFonts w:hint="eastAsia"/>
          <w:color w:val="000000" w:themeColor="text1"/>
          <w:highlight w:val="none"/>
          <w14:textFill>
            <w14:solidFill>
              <w14:schemeClr w14:val="tx1"/>
            </w14:solidFill>
          </w14:textFill>
        </w:rPr>
        <w:t>的期限内到达工程现场并修复缺陷或损坏。</w:t>
      </w:r>
    </w:p>
    <w:p>
      <w:pPr>
        <w:pStyle w:val="73"/>
        <w:rPr>
          <w:color w:val="000000" w:themeColor="text1"/>
          <w:highlight w:val="none"/>
          <w14:textFill>
            <w14:solidFill>
              <w14:schemeClr w14:val="tx1"/>
            </w14:solidFill>
          </w14:textFill>
        </w:rPr>
      </w:pPr>
      <w:bookmarkStart w:id="840" w:name="_Toc91082454"/>
      <w:bookmarkStart w:id="841" w:name="_Toc15853"/>
      <w:bookmarkStart w:id="842" w:name="_Toc27986"/>
      <w:bookmarkStart w:id="843" w:name="_Toc38987289"/>
      <w:bookmarkStart w:id="844" w:name="_Toc44228172"/>
      <w:bookmarkStart w:id="845" w:name="_Toc11284"/>
      <w:bookmarkStart w:id="846" w:name="_Toc44492618"/>
      <w:r>
        <w:rPr>
          <w:rFonts w:hint="eastAsia"/>
          <w:color w:val="000000" w:themeColor="text1"/>
          <w:highlight w:val="none"/>
          <w14:textFill>
            <w14:solidFill>
              <w14:schemeClr w14:val="tx1"/>
            </w14:solidFill>
          </w14:textFill>
        </w:rPr>
        <w:t>20.保险</w:t>
      </w:r>
      <w:bookmarkEnd w:id="840"/>
      <w:bookmarkEnd w:id="841"/>
      <w:bookmarkEnd w:id="842"/>
      <w:bookmarkEnd w:id="843"/>
      <w:bookmarkEnd w:id="844"/>
      <w:bookmarkEnd w:id="845"/>
      <w:bookmarkEnd w:id="846"/>
    </w:p>
    <w:p>
      <w:pPr>
        <w:pStyle w:val="77"/>
        <w:ind w:firstLine="480"/>
        <w:rPr>
          <w:color w:val="000000" w:themeColor="text1"/>
          <w:highlight w:val="none"/>
          <w14:textFill>
            <w14:solidFill>
              <w14:schemeClr w14:val="tx1"/>
            </w14:solidFill>
          </w14:textFill>
        </w:rPr>
      </w:pPr>
      <w:bookmarkStart w:id="847" w:name="_Toc27339"/>
      <w:bookmarkStart w:id="848" w:name="_Toc24049"/>
      <w:bookmarkStart w:id="849" w:name="_Toc44492619"/>
      <w:r>
        <w:rPr>
          <w:rFonts w:hint="eastAsia"/>
          <w:color w:val="000000" w:themeColor="text1"/>
          <w:highlight w:val="none"/>
          <w14:textFill>
            <w14:solidFill>
              <w14:schemeClr w14:val="tx1"/>
            </w14:solidFill>
          </w14:textFill>
        </w:rPr>
        <w:t>20.1. 建筑工程一切险(含第三者责任险）</w:t>
      </w:r>
      <w:bookmarkEnd w:id="847"/>
      <w:bookmarkEnd w:id="848"/>
      <w:bookmarkEnd w:id="84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20.1.1. 通用条款第20.1.1条中“本工程项目应投保的建筑工程一切险（含第三者责任险）的相关费用均已包含在合同总价中”修订为“本工程项目应投保的建筑/安装工程一切险（含第三者责任险）由承包人购买”，有关建筑工程一切险（含第三者责任险）的投保条件规定如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1）承包人已为本工程购买了 “建筑/安装工程一切险（含第三者责任险）”，其范围已包括此分包工程，但相应免赔额、保险除外责任部分由分包人自行承担。该保险条款的详细内容分包人可在法定工作时间内到发包人的办公室查阅。对承包人保险条款中的特别除外部分，分包人应以自己的义务考虑加保与否，并承担加保费用。该项保险若因分包人的过失而需延长，因此而增加的保险费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须负责本工程每次索偿事件的现场保护工作，并及时向承包人提供保险公司所要求提交的有关索偿事件所需要的一切证据和资料，分包人确认上述工作所需要的费用已包括在合同总价内。承包人所购买的工程一切险和第三责任险并不能解除或减少分包人按合同条款应承担的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无论有关一切险的索偿是否得到理赔，在本工程现场具备复原条件时，分包人须迅速地把损坏的工作复原,把损失或损坏了的未安装物料替换或修补、迁离和处理任何残砾和继续执行和完成本工程。所有由保险得到的应支付给分包人的款项（减去顾问费，如有），并入获保险理赔且承发包双反确认支付额后的最近一期进度款中支付给分包人。除保险所得的款项外，分包人不能对损坏工作的复原、未安装物料的替换和修补、及残砾的迁离和处理，收取其它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4）若分包人认为承包人所购买的保险未足以保障其自身的风险时，可自费补充投保。</w:t>
      </w:r>
    </w:p>
    <w:p>
      <w:pPr>
        <w:pStyle w:val="77"/>
        <w:ind w:firstLine="480"/>
        <w:rPr>
          <w:color w:val="000000" w:themeColor="text1"/>
          <w:highlight w:val="none"/>
          <w14:textFill>
            <w14:solidFill>
              <w14:schemeClr w14:val="tx1"/>
            </w14:solidFill>
          </w14:textFill>
        </w:rPr>
      </w:pPr>
      <w:bookmarkStart w:id="850" w:name="_Toc367"/>
      <w:bookmarkStart w:id="851" w:name="_Toc44492620"/>
      <w:bookmarkStart w:id="852" w:name="_Toc9779"/>
      <w:r>
        <w:rPr>
          <w:rFonts w:hint="eastAsia"/>
          <w:color w:val="000000" w:themeColor="text1"/>
          <w:highlight w:val="none"/>
          <w14:textFill>
            <w14:solidFill>
              <w14:schemeClr w14:val="tx1"/>
            </w14:solidFill>
          </w14:textFill>
        </w:rPr>
        <w:t xml:space="preserve">20.3 </w:t>
      </w:r>
      <w:r>
        <w:rPr>
          <w:rFonts w:hint="eastAsia" w:ascii="宋体" w:hAnsi="宋体"/>
          <w:snapToGrid w:val="0"/>
          <w:color w:val="000000" w:themeColor="text1"/>
          <w:kern w:val="0"/>
          <w:szCs w:val="20"/>
          <w:highlight w:val="none"/>
          <w14:textFill>
            <w14:solidFill>
              <w14:schemeClr w14:val="tx1"/>
            </w14:solidFill>
          </w14:textFill>
        </w:rPr>
        <w:t>雇员赔偿保险</w:t>
      </w:r>
      <w:r>
        <w:rPr>
          <w:rFonts w:hint="eastAsia"/>
          <w:color w:val="000000" w:themeColor="text1"/>
          <w:highlight w:val="none"/>
          <w14:textFill>
            <w14:solidFill>
              <w14:schemeClr w14:val="tx1"/>
            </w14:solidFill>
          </w14:textFill>
        </w:rPr>
        <w:t>：</w:t>
      </w:r>
      <w:bookmarkEnd w:id="850"/>
      <w:bookmarkEnd w:id="851"/>
      <w:bookmarkEnd w:id="852"/>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20.3.2.通用条款第20.3.2内容修订为：发包人、承包人对任何分包人的雇员、代理人、劳务人员或其他人的意外或伤亡，不论该人是受雇于分包人或分包人的再分包单位，皆不负任何法律上的赔偿责任。分包人须保障发包人免负任何有关的索偿、要求、诉讼、成本、费用和支出。若发包人、承包人因有关法律规定或司法行政决定或和解协议需要先行承担责任或承担连带责任的，分包人应予赔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20.3.4.假若有任何受雇于本工程或与本合同有关的雇员或其他人士，受到损伤，不论有无索偿，分包人须马上以书面形式将该损伤通知承包人、发包人。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20.3.5.分包人必须为其服务于本工程的雇佣员工购买人身意外保险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应在工程施工开始直至缺陷责任期完结期间对所有其雇用的工作人员进行此类保险并持续这种保险。但对于分包人的任何分包人雇用任何人员，如果分包人已经对上述雇员进行了保险，则本条款前述的分包人保险义务即得到履行，但在必要时，分包人应要求其分包单位向发包人提交有关的保险单及本期保险金的支付收据。一旦发生人员伤亡事故，分包人须立即通知承包人、发包人，并以书面形式提供详细经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分包人须对其雇员的意外或伤亡负全责。分包人须与受雇者签订劳动合同，并与参与本工程的所有有关人员包括其自身的施工人员、管理人员及分包人（不论是否发包人指定的）的施工及管理人员等，投保其认为必要的人身意外保险。发包人对于任何雇员的意外或伤亡，不论该人是受雇于分包人还是其分包方（不论是否发包人指定的），都不负任何法律上的赔偿责任，分包人须保障发包人免负任何有关的索偿、要求、诉讼、成本、费用和支出。</w:t>
      </w:r>
    </w:p>
    <w:p>
      <w:pPr>
        <w:pStyle w:val="52"/>
        <w:ind w:firstLine="480"/>
        <w:rPr>
          <w:color w:val="000000" w:themeColor="text1"/>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20.4 其他保险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20.4.1分包人应当依据《安全生产责任保险实施办法》中的要求，自行投保安全生产责任险，分包人应在工程施工开始直至缺陷责任期完结期间进行此类保险并持续这种保险。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20.4.2分包人应为本工程自费购买其认为所需的但不包含在承包人保险范围内的其他保险。分包人不得以任何借口对其未保险事项或不能向其保险公司收回的金额向承包人提出索赔。</w:t>
      </w:r>
    </w:p>
    <w:p>
      <w:pPr>
        <w:pStyle w:val="52"/>
        <w:ind w:firstLine="480"/>
        <w:rPr>
          <w:color w:val="000000" w:themeColor="text1"/>
          <w:highlight w:val="none"/>
          <w14:textFill>
            <w14:solidFill>
              <w14:schemeClr w14:val="tx1"/>
            </w14:solidFill>
          </w14:textFill>
        </w:rPr>
      </w:pPr>
      <w:r>
        <w:rPr>
          <w:rFonts w:hint="eastAsia" w:eastAsia="黑体"/>
          <w:bCs/>
          <w:color w:val="000000" w:themeColor="text1"/>
          <w:kern w:val="2"/>
          <w:sz w:val="24"/>
          <w:highlight w:val="none"/>
          <w14:textFill>
            <w14:solidFill>
              <w14:schemeClr w14:val="tx1"/>
            </w14:solidFill>
          </w14:textFill>
        </w:rPr>
        <w:t>20.5 对各项保险的一般要求</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20.5.7.分包人不得在其投保合同条款中加入“其保险人有权或可以向发包人的保险人提出索赔”的条款。</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20.5.8.分包人应在工程开工前向承包人及发包人提供根据合同要求的保险投保证明，并在分包人所需保险的工作开始前提前7天以上向承包人及发包人提交有效的保险单，保险单应与合同的条款一致，分包人投保的保险公司应经承包人、发包人批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20.5.9.分包人应在施工进度、范围、性质发生变化时通知其保险人，以确保根据合同条款在所有时间内有完备的保险，由此所发生的费用，由分包人自行承担。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20.5.10.如果分包人未使或未保证任何合同规定的保险生效，或未按规定的时间向承包人、发包人提供保险单，承包人、发包人在任何这种情况发生时，有权使任何这些保险生效并支付保险金，并随时从支付给或应支付给分包人的款项中扣回，或视同到期债务从分包人扣回。</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20.5.11.分包人或承包人或发包人未能遵循根据合同生效的保险单条款给对方造成损失的，责任一方应赔偿另一方由此而造成的全部损失。但分包人投保的保险合同投保前未经承包人、发包人确认，或使承包人、发包人承担责任或费用的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20.5.12若分包人未能按规定购买和维持该等保险，承包人可代为投保，保险费在支付的工程款中抵扣。</w:t>
      </w:r>
    </w:p>
    <w:p>
      <w:pPr>
        <w:pStyle w:val="73"/>
        <w:rPr>
          <w:color w:val="000000" w:themeColor="text1"/>
          <w:highlight w:val="none"/>
          <w14:textFill>
            <w14:solidFill>
              <w14:schemeClr w14:val="tx1"/>
            </w14:solidFill>
          </w14:textFill>
        </w:rPr>
      </w:pPr>
      <w:bookmarkStart w:id="853" w:name="_Toc38987290"/>
      <w:bookmarkStart w:id="854" w:name="_Toc32518"/>
      <w:bookmarkStart w:id="855" w:name="_Toc44492621"/>
      <w:bookmarkStart w:id="856" w:name="_Toc17186"/>
      <w:bookmarkStart w:id="857" w:name="_Toc44228173"/>
      <w:bookmarkStart w:id="858" w:name="_Toc91082455"/>
      <w:bookmarkStart w:id="859" w:name="_Toc10582"/>
      <w:r>
        <w:rPr>
          <w:rFonts w:hint="eastAsia"/>
          <w:color w:val="000000" w:themeColor="text1"/>
          <w:highlight w:val="none"/>
          <w14:textFill>
            <w14:solidFill>
              <w14:schemeClr w14:val="tx1"/>
            </w14:solidFill>
          </w14:textFill>
        </w:rPr>
        <w:t>21.不可抗力</w:t>
      </w:r>
      <w:bookmarkEnd w:id="853"/>
      <w:bookmarkEnd w:id="854"/>
      <w:bookmarkEnd w:id="855"/>
      <w:bookmarkEnd w:id="856"/>
      <w:bookmarkEnd w:id="857"/>
      <w:bookmarkEnd w:id="858"/>
      <w:bookmarkEnd w:id="859"/>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21.3.2.不可抗力后果及其处理的其他约定：</w:t>
      </w:r>
      <w:r>
        <w:rPr>
          <w:rFonts w:hint="eastAsia"/>
          <w:color w:val="000000" w:themeColor="text1"/>
          <w:highlight w:val="none"/>
          <w:u w:val="single"/>
          <w14:textFill>
            <w14:solidFill>
              <w14:schemeClr w14:val="tx1"/>
            </w14:solidFill>
          </w14:textFill>
        </w:rPr>
        <w:t xml:space="preserve">  无  </w:t>
      </w:r>
      <w:r>
        <w:rPr>
          <w:rFonts w:hint="eastAsia"/>
          <w:color w:val="000000" w:themeColor="text1"/>
          <w:highlight w:val="none"/>
          <w14:textFill>
            <w14:solidFill>
              <w14:schemeClr w14:val="tx1"/>
            </w14:solidFill>
          </w14:textFill>
        </w:rPr>
        <w:t>。</w:t>
      </w:r>
      <w:bookmarkStart w:id="860" w:name="_Toc20588"/>
      <w:bookmarkStart w:id="861" w:name="_Toc38987291"/>
      <w:bookmarkStart w:id="862" w:name="_Toc44492622"/>
      <w:bookmarkStart w:id="863" w:name="_Toc9988"/>
      <w:bookmarkStart w:id="864" w:name="_Toc44228174"/>
    </w:p>
    <w:p>
      <w:pPr>
        <w:pStyle w:val="73"/>
        <w:rPr>
          <w:color w:val="000000" w:themeColor="text1"/>
          <w:highlight w:val="none"/>
          <w14:textFill>
            <w14:solidFill>
              <w14:schemeClr w14:val="tx1"/>
            </w14:solidFill>
          </w14:textFill>
        </w:rPr>
      </w:pPr>
      <w:bookmarkStart w:id="865" w:name="_Toc8129"/>
      <w:bookmarkStart w:id="866" w:name="_Toc91082456"/>
      <w:r>
        <w:rPr>
          <w:rFonts w:hint="eastAsia"/>
          <w:color w:val="000000" w:themeColor="text1"/>
          <w:highlight w:val="none"/>
          <w14:textFill>
            <w14:solidFill>
              <w14:schemeClr w14:val="tx1"/>
            </w14:solidFill>
          </w14:textFill>
        </w:rPr>
        <w:t>22.违约</w:t>
      </w:r>
      <w:bookmarkEnd w:id="860"/>
      <w:bookmarkEnd w:id="861"/>
      <w:bookmarkEnd w:id="862"/>
      <w:bookmarkEnd w:id="863"/>
      <w:bookmarkEnd w:id="864"/>
      <w:bookmarkEnd w:id="865"/>
      <w:bookmarkEnd w:id="866"/>
      <w:bookmarkStart w:id="867" w:name="_Toc44492623"/>
      <w:bookmarkStart w:id="868" w:name="_Toc20484"/>
      <w:bookmarkStart w:id="869" w:name="_Toc13732"/>
    </w:p>
    <w:p>
      <w:pPr>
        <w:pStyle w:val="52"/>
        <w:ind w:firstLine="422"/>
        <w:rPr>
          <w:b/>
          <w:bCs/>
          <w:color w:val="000000" w:themeColor="text1"/>
          <w:highlight w:val="none"/>
          <w14:textFill>
            <w14:solidFill>
              <w14:schemeClr w14:val="tx1"/>
            </w14:solidFill>
          </w14:textFill>
        </w:rPr>
      </w:pPr>
      <w:r>
        <w:rPr>
          <w:rFonts w:hint="eastAsia"/>
          <w:b/>
          <w:bCs/>
          <w:color w:val="000000" w:themeColor="text1"/>
          <w:highlight w:val="none"/>
          <w14:textFill>
            <w14:solidFill>
              <w14:schemeClr w14:val="tx1"/>
            </w14:solidFill>
          </w14:textFill>
        </w:rPr>
        <w:t>22.1 分包人违约</w:t>
      </w:r>
      <w:bookmarkEnd w:id="867"/>
      <w:bookmarkEnd w:id="868"/>
      <w:bookmarkEnd w:id="869"/>
      <w:bookmarkStart w:id="870" w:name="_Toc44492624"/>
    </w:p>
    <w:bookmarkEnd w:id="870"/>
    <w:p>
      <w:pPr>
        <w:pStyle w:val="77"/>
        <w:ind w:firstLine="420"/>
        <w:rPr>
          <w:rFonts w:eastAsia="仿宋_GB2312"/>
          <w:bCs w:val="0"/>
          <w:color w:val="000000" w:themeColor="text1"/>
          <w:kern w:val="0"/>
          <w:sz w:val="21"/>
          <w:highlight w:val="none"/>
          <w14:textFill>
            <w14:solidFill>
              <w14:schemeClr w14:val="tx1"/>
            </w14:solidFill>
          </w14:textFill>
        </w:rPr>
      </w:pPr>
      <w:r>
        <w:rPr>
          <w:rFonts w:hint="eastAsia" w:eastAsia="仿宋_GB2312"/>
          <w:bCs w:val="0"/>
          <w:color w:val="000000" w:themeColor="text1"/>
          <w:kern w:val="0"/>
          <w:sz w:val="21"/>
          <w:highlight w:val="none"/>
          <w14:textFill>
            <w14:solidFill>
              <w14:schemeClr w14:val="tx1"/>
            </w14:solidFill>
          </w14:textFill>
        </w:rPr>
        <w:t>22.1.1 通用</w:t>
      </w:r>
      <w:r>
        <w:rPr>
          <w:rFonts w:eastAsia="仿宋_GB2312"/>
          <w:bCs w:val="0"/>
          <w:color w:val="000000" w:themeColor="text1"/>
          <w:kern w:val="0"/>
          <w:sz w:val="21"/>
          <w:highlight w:val="none"/>
          <w14:textFill>
            <w14:solidFill>
              <w14:schemeClr w14:val="tx1"/>
            </w14:solidFill>
          </w14:textFill>
        </w:rPr>
        <w:t>条款</w:t>
      </w:r>
      <w:r>
        <w:rPr>
          <w:rFonts w:hint="eastAsia" w:eastAsia="仿宋_GB2312"/>
          <w:bCs w:val="0"/>
          <w:color w:val="000000" w:themeColor="text1"/>
          <w:kern w:val="0"/>
          <w:sz w:val="21"/>
          <w:highlight w:val="none"/>
          <w14:textFill>
            <w14:solidFill>
              <w14:schemeClr w14:val="tx1"/>
            </w14:solidFill>
          </w14:textFill>
        </w:rPr>
        <w:t>22.1.1修订</w:t>
      </w:r>
      <w:r>
        <w:rPr>
          <w:rFonts w:eastAsia="仿宋_GB2312"/>
          <w:bCs w:val="0"/>
          <w:color w:val="000000" w:themeColor="text1"/>
          <w:kern w:val="0"/>
          <w:sz w:val="21"/>
          <w:highlight w:val="none"/>
          <w14:textFill>
            <w14:solidFill>
              <w14:schemeClr w14:val="tx1"/>
            </w14:solidFill>
          </w14:textFill>
        </w:rPr>
        <w:t>为：</w:t>
      </w:r>
      <w:r>
        <w:rPr>
          <w:rFonts w:hint="eastAsia" w:eastAsia="仿宋_GB2312"/>
          <w:bCs w:val="0"/>
          <w:color w:val="000000" w:themeColor="text1"/>
          <w:kern w:val="0"/>
          <w:sz w:val="21"/>
          <w:highlight w:val="none"/>
          <w14:textFill>
            <w14:solidFill>
              <w14:schemeClr w14:val="tx1"/>
            </w14:solidFill>
          </w14:textFill>
        </w:rPr>
        <w:t>分包人有任何违反本合同责任和义务的行为均构成违约，包括但不限于在履行合同过程中发生的下列情况：</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分包人私自将合同的全部或部分权利转让给其他人，或私自将合同的全部或部分义务转移给其他人；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分包人未经监理人批准，私自将已按合同约定进入施工场地的施工设备、临时设施或材料撤离施工场地；</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分包人使用了不合格材料或工程设备，工程质量达不到标准要求，又拒绝清除不合格工程；</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分包人未能按合同进度计划及时完成合同约定的工作，已造成或预期造成工期延误；</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分包人无法继续履行或明确表示不履行或实质上已停止履行合同；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分包人不按合同约定履行义务的其他情况。</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通用条款22.1.3的第1）~3）条不适用本合同，修订</w:t>
      </w:r>
      <w:r>
        <w:rPr>
          <w:color w:val="000000" w:themeColor="text1"/>
          <w:highlight w:val="none"/>
          <w14:textFill>
            <w14:solidFill>
              <w14:schemeClr w14:val="tx1"/>
            </w14:solidFill>
          </w14:textFill>
        </w:rPr>
        <w:t>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分包人发生第22.1.1第5）约定的违约情况时，承包人可通知分包人立即解除合同，并按有关法律处理。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分包人发生除第22.1.1第5）约定以外的其他违约情况时，除另有约定外，监理人可向承包人、分包人发出整改通知，要求其在指定的期限内改正。分包人应承担其违约所引起的费用增加和（或）工期延误。</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监理人要求分包人停工整改的,经检查证明分包人已采取了有效措施纠正违约行为，具备复工条件的，可由监理人在取得发包人同意的情况下向承包人签发复工通知复工。</w:t>
      </w:r>
    </w:p>
    <w:p>
      <w:pPr>
        <w:pStyle w:val="77"/>
        <w:ind w:firstLine="420"/>
        <w:rPr>
          <w:rFonts w:eastAsia="仿宋_GB2312"/>
          <w:bCs w:val="0"/>
          <w:color w:val="000000" w:themeColor="text1"/>
          <w:kern w:val="0"/>
          <w:sz w:val="21"/>
          <w:highlight w:val="none"/>
          <w14:textFill>
            <w14:solidFill>
              <w14:schemeClr w14:val="tx1"/>
            </w14:solidFill>
          </w14:textFill>
        </w:rPr>
      </w:pPr>
      <w:bookmarkStart w:id="871" w:name="_Toc44492625"/>
      <w:r>
        <w:rPr>
          <w:rFonts w:hint="eastAsia" w:eastAsia="仿宋_GB2312"/>
          <w:bCs w:val="0"/>
          <w:color w:val="000000" w:themeColor="text1"/>
          <w:kern w:val="0"/>
          <w:sz w:val="21"/>
          <w:highlight w:val="none"/>
          <w14:textFill>
            <w14:solidFill>
              <w14:schemeClr w14:val="tx1"/>
            </w14:solidFill>
          </w14:textFill>
        </w:rPr>
        <w:t>22.1.9</w:t>
      </w:r>
      <w:r>
        <w:rPr>
          <w:rFonts w:eastAsia="仿宋_GB2312"/>
          <w:bCs w:val="0"/>
          <w:color w:val="000000" w:themeColor="text1"/>
          <w:kern w:val="0"/>
          <w:sz w:val="21"/>
          <w:highlight w:val="none"/>
          <w14:textFill>
            <w14:solidFill>
              <w14:schemeClr w14:val="tx1"/>
            </w14:solidFill>
          </w14:textFill>
        </w:rPr>
        <w:t xml:space="preserve"> </w:t>
      </w:r>
      <w:r>
        <w:rPr>
          <w:rFonts w:hint="eastAsia" w:eastAsia="仿宋_GB2312"/>
          <w:bCs w:val="0"/>
          <w:color w:val="000000" w:themeColor="text1"/>
          <w:kern w:val="0"/>
          <w:sz w:val="21"/>
          <w:highlight w:val="none"/>
          <w14:textFill>
            <w14:solidFill>
              <w14:schemeClr w14:val="tx1"/>
            </w14:solidFill>
          </w14:textFill>
        </w:rPr>
        <w:t>分包人</w:t>
      </w:r>
      <w:r>
        <w:rPr>
          <w:rFonts w:eastAsia="仿宋_GB2312"/>
          <w:bCs w:val="0"/>
          <w:color w:val="000000" w:themeColor="text1"/>
          <w:kern w:val="0"/>
          <w:sz w:val="21"/>
          <w:highlight w:val="none"/>
          <w14:textFill>
            <w14:solidFill>
              <w14:schemeClr w14:val="tx1"/>
            </w14:solidFill>
          </w14:textFill>
        </w:rPr>
        <w:t>其他违约情况</w:t>
      </w:r>
      <w:bookmarkEnd w:id="871"/>
      <w:r>
        <w:rPr>
          <w:rFonts w:hint="eastAsia" w:eastAsia="仿宋_GB2312"/>
          <w:bCs w:val="0"/>
          <w:color w:val="000000" w:themeColor="text1"/>
          <w:kern w:val="0"/>
          <w:sz w:val="2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22.1.9.1</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分包人人员管理方面：</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1）分包人的所有管理人员均应向承包人</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发包人提供</w:t>
      </w:r>
      <w:r>
        <w:rPr>
          <w:rFonts w:hint="eastAsia"/>
          <w:color w:val="000000" w:themeColor="text1"/>
          <w:highlight w:val="none"/>
          <w14:textFill>
            <w14:solidFill>
              <w14:schemeClr w14:val="tx1"/>
            </w14:solidFill>
          </w14:textFill>
        </w:rPr>
        <w:t>不少于一年</w:t>
      </w:r>
      <w:r>
        <w:rPr>
          <w:color w:val="000000" w:themeColor="text1"/>
          <w:highlight w:val="none"/>
          <w14:textFill>
            <w14:solidFill>
              <w14:schemeClr w14:val="tx1"/>
            </w14:solidFill>
          </w14:textFill>
        </w:rPr>
        <w:t>在分包人公司的社保证明，分包人未能提供社保证明须向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支付每人每天1000元违约金，直到提供社保证明为止或另派管理人员。</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2）分包人项目管理部主要管理人员须常驻现场：项目经理</w:t>
      </w:r>
      <w:r>
        <w:rPr>
          <w:rFonts w:hint="eastAsia"/>
          <w:color w:val="000000" w:themeColor="text1"/>
          <w:highlight w:val="none"/>
          <w14:textFill>
            <w14:solidFill>
              <w14:schemeClr w14:val="tx1"/>
            </w14:solidFill>
          </w14:textFill>
        </w:rPr>
        <w:t>、副项目经理、项目技术负责人、项目生产经理、质量总监、安全负责人（安全总监）、</w:t>
      </w:r>
      <w:r>
        <w:rPr>
          <w:rFonts w:hint="eastAsia" w:cs="宋体"/>
          <w:color w:val="000000" w:themeColor="text1"/>
          <w:highlight w:val="none"/>
          <w14:textFill>
            <w14:solidFill>
              <w14:schemeClr w14:val="tx1"/>
            </w14:solidFill>
          </w14:textFill>
        </w:rPr>
        <w:t>专职安全员</w:t>
      </w:r>
      <w:r>
        <w:rPr>
          <w:color w:val="000000" w:themeColor="text1"/>
          <w:highlight w:val="none"/>
          <w14:textFill>
            <w14:solidFill>
              <w14:schemeClr w14:val="tx1"/>
            </w14:solidFill>
          </w14:textFill>
        </w:rPr>
        <w:t>每</w:t>
      </w:r>
      <w:r>
        <w:rPr>
          <w:rFonts w:hint="eastAsia"/>
          <w:color w:val="000000" w:themeColor="text1"/>
          <w:highlight w:val="none"/>
          <w14:textFill>
            <w14:solidFill>
              <w14:schemeClr w14:val="tx1"/>
            </w14:solidFill>
          </w14:textFill>
        </w:rPr>
        <w:t>月</w:t>
      </w:r>
      <w:r>
        <w:rPr>
          <w:color w:val="000000" w:themeColor="text1"/>
          <w:highlight w:val="none"/>
          <w14:textFill>
            <w14:solidFill>
              <w14:schemeClr w14:val="tx1"/>
            </w14:solidFill>
          </w14:textFill>
        </w:rPr>
        <w:t>在现场工作时间不得少于</w:t>
      </w:r>
      <w:r>
        <w:rPr>
          <w:rFonts w:hint="eastAsia"/>
          <w:color w:val="000000" w:themeColor="text1"/>
          <w:highlight w:val="none"/>
          <w14:textFill>
            <w14:solidFill>
              <w14:schemeClr w14:val="tx1"/>
            </w14:solidFill>
          </w14:textFill>
        </w:rPr>
        <w:t>26</w:t>
      </w:r>
      <w:r>
        <w:rPr>
          <w:color w:val="000000" w:themeColor="text1"/>
          <w:highlight w:val="none"/>
          <w14:textFill>
            <w14:solidFill>
              <w14:schemeClr w14:val="tx1"/>
            </w14:solidFill>
          </w14:textFill>
        </w:rPr>
        <w:t>天、每天工作时间不得少于8小时；项目管理人员离开工地需经承包人</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发包人及</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同意；若无正当理由且未经承包人</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发包人及</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同意不在工地的</w:t>
      </w:r>
      <w:r>
        <w:rPr>
          <w:rFonts w:hint="eastAsia"/>
          <w:color w:val="000000" w:themeColor="text1"/>
          <w:highlight w:val="none"/>
          <w14:textFill>
            <w14:solidFill>
              <w14:schemeClr w14:val="tx1"/>
            </w14:solidFill>
          </w14:textFill>
        </w:rPr>
        <w:t>或出勤不满足以上要求的</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w:t>
      </w:r>
      <w:r>
        <w:rPr>
          <w:rFonts w:hint="eastAsia"/>
          <w:color w:val="000000" w:themeColor="text1"/>
          <w:highlight w:val="none"/>
          <w14:textFill>
            <w14:solidFill>
              <w14:schemeClr w14:val="tx1"/>
            </w14:solidFill>
          </w14:textFill>
        </w:rPr>
        <w:t>视情况</w:t>
      </w:r>
      <w:r>
        <w:rPr>
          <w:color w:val="000000" w:themeColor="text1"/>
          <w:highlight w:val="none"/>
          <w14:textFill>
            <w14:solidFill>
              <w14:schemeClr w14:val="tx1"/>
            </w14:solidFill>
          </w14:textFill>
        </w:rPr>
        <w:t>按每天每人向分包人收取违约金</w:t>
      </w:r>
      <w:r>
        <w:rPr>
          <w:rFonts w:hint="eastAsia"/>
          <w:color w:val="000000" w:themeColor="text1"/>
          <w:highlight w:val="none"/>
          <w14:textFill>
            <w14:solidFill>
              <w14:schemeClr w14:val="tx1"/>
            </w14:solidFill>
          </w14:textFill>
        </w:rPr>
        <w:t>（项目经理</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万元</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天，技术负责人、副项目经理、安全负责人</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万元</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天，其他主要管理人员</w:t>
      </w:r>
      <w:r>
        <w:rPr>
          <w:color w:val="000000" w:themeColor="text1"/>
          <w:highlight w:val="none"/>
          <w14:textFill>
            <w14:solidFill>
              <w14:schemeClr w14:val="tx1"/>
            </w14:solidFill>
          </w14:textFill>
        </w:rPr>
        <w:t>1.5</w:t>
      </w:r>
      <w:r>
        <w:rPr>
          <w:rFonts w:hint="eastAsia"/>
          <w:color w:val="000000" w:themeColor="text1"/>
          <w:highlight w:val="none"/>
          <w14:textFill>
            <w14:solidFill>
              <w14:schemeClr w14:val="tx1"/>
            </w14:solidFill>
          </w14:textFill>
        </w:rPr>
        <w:t>万元</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天），承包人有权将违约金在当期进度款中直接扣减</w:t>
      </w:r>
      <w:r>
        <w:rPr>
          <w:color w:val="000000" w:themeColor="text1"/>
          <w:highlight w:val="none"/>
          <w14:textFill>
            <w14:solidFill>
              <w14:schemeClr w14:val="tx1"/>
            </w14:solidFill>
          </w14:textFill>
        </w:rPr>
        <w:t>；若分包人主要管理人员无故连续3天不在工地，又无发包人可以接受的理由，则发包人有权要求分包人将其更换。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3）如分包人未按合同附件17约定（当投标文件中人员配备高于招标文件要求时以投标文件人员配备为准，当投标文件中人员配备低于招标文件要求时以招标文件中人员配备要求为准）投入</w:t>
      </w:r>
      <w:r>
        <w:rPr>
          <w:color w:val="000000" w:themeColor="text1"/>
          <w:highlight w:val="none"/>
          <w14:textFill>
            <w14:solidFill>
              <w14:schemeClr w14:val="tx1"/>
            </w14:solidFill>
          </w14:textFill>
        </w:rPr>
        <w:t>主要</w:t>
      </w:r>
      <w:r>
        <w:rPr>
          <w:rFonts w:hint="eastAsia"/>
          <w:color w:val="000000" w:themeColor="text1"/>
          <w:highlight w:val="none"/>
          <w14:textFill>
            <w14:solidFill>
              <w14:schemeClr w14:val="tx1"/>
            </w14:solidFill>
          </w14:textFill>
        </w:rPr>
        <w:t>管理人员，分包人应按2万</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人标准向承包人支付违约金，分包人须在</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天内补充或更换至满足本协议要求，否则分包人应按1万元</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人</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天标准向承包人支付违约金。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4）如出现分包人工程施工期间无</w:t>
      </w:r>
      <w:r>
        <w:rPr>
          <w:color w:val="000000" w:themeColor="text1"/>
          <w:highlight w:val="none"/>
          <w14:textFill>
            <w14:solidFill>
              <w14:schemeClr w14:val="tx1"/>
            </w14:solidFill>
          </w14:textFill>
        </w:rPr>
        <w:t>主要</w:t>
      </w:r>
      <w:r>
        <w:rPr>
          <w:rFonts w:hint="eastAsia"/>
          <w:color w:val="000000" w:themeColor="text1"/>
          <w:highlight w:val="none"/>
          <w14:textFill>
            <w14:solidFill>
              <w14:schemeClr w14:val="tx1"/>
            </w14:solidFill>
          </w14:textFill>
        </w:rPr>
        <w:t>管理人员在岗的，一经发现，分包人应按3万</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次标准向承包人支付违约金。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）关于更换项目管理人员的</w:t>
      </w:r>
      <w:r>
        <w:rPr>
          <w:rFonts w:hint="eastAsia"/>
          <w:color w:val="000000" w:themeColor="text1"/>
          <w:highlight w:val="none"/>
          <w14:textFill>
            <w14:solidFill>
              <w14:schemeClr w14:val="tx1"/>
            </w14:solidFill>
          </w14:textFill>
        </w:rPr>
        <w:t>约定：</w:t>
      </w:r>
    </w:p>
    <w:p>
      <w:pPr>
        <w:pStyle w:val="52"/>
        <w:ind w:firstLine="420"/>
        <w:rPr>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①</w:t>
      </w:r>
      <w:r>
        <w:rPr>
          <w:color w:val="000000" w:themeColor="text1"/>
          <w:highlight w:val="none"/>
          <w14:textFill>
            <w14:solidFill>
              <w14:schemeClr w14:val="tx1"/>
            </w14:solidFill>
          </w14:textFill>
        </w:rPr>
        <w:t>经发包人和监理单位审核明确的项目管理人员</w:t>
      </w:r>
      <w:r>
        <w:rPr>
          <w:rFonts w:hint="eastAsia"/>
          <w:color w:val="000000" w:themeColor="text1"/>
          <w:highlight w:val="none"/>
          <w14:textFill>
            <w14:solidFill>
              <w14:schemeClr w14:val="tx1"/>
            </w14:solidFill>
          </w14:textFill>
        </w:rPr>
        <w:t>，分包人</w:t>
      </w:r>
      <w:r>
        <w:rPr>
          <w:color w:val="000000" w:themeColor="text1"/>
          <w:highlight w:val="none"/>
          <w14:textFill>
            <w14:solidFill>
              <w14:schemeClr w14:val="tx1"/>
            </w14:solidFill>
          </w14:textFill>
        </w:rPr>
        <w:t>不得擅自变更</w:t>
      </w:r>
      <w:r>
        <w:rPr>
          <w:rFonts w:hint="eastAsia"/>
          <w:color w:val="000000" w:themeColor="text1"/>
          <w:highlight w:val="none"/>
          <w14:textFill>
            <w14:solidFill>
              <w14:schemeClr w14:val="tx1"/>
            </w14:solidFill>
          </w14:textFill>
        </w:rPr>
        <w:t>主要</w:t>
      </w:r>
      <w:r>
        <w:rPr>
          <w:color w:val="000000" w:themeColor="text1"/>
          <w:highlight w:val="none"/>
          <w14:textFill>
            <w14:solidFill>
              <w14:schemeClr w14:val="tx1"/>
            </w14:solidFill>
          </w14:textFill>
        </w:rPr>
        <w:t>管理人员。</w:t>
      </w:r>
      <w:r>
        <w:rPr>
          <w:rFonts w:hint="eastAsia"/>
          <w:color w:val="000000" w:themeColor="text1"/>
          <w:highlight w:val="none"/>
          <w14:textFill>
            <w14:solidFill>
              <w14:schemeClr w14:val="tx1"/>
            </w14:solidFill>
          </w14:textFill>
        </w:rPr>
        <w:t>否</w:t>
      </w:r>
      <w:r>
        <w:rPr>
          <w:color w:val="000000" w:themeColor="text1"/>
          <w:highlight w:val="none"/>
          <w14:textFill>
            <w14:solidFill>
              <w14:schemeClr w14:val="tx1"/>
            </w14:solidFill>
          </w14:textFill>
        </w:rPr>
        <w:t>则分包人应向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支付的违约金，具体约定金额为：</w:t>
      </w:r>
    </w:p>
    <w:tbl>
      <w:tblPr>
        <w:tblStyle w:val="37"/>
        <w:tblW w:w="88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69"/>
        <w:gridCol w:w="1254"/>
        <w:gridCol w:w="1254"/>
        <w:gridCol w:w="1156"/>
        <w:gridCol w:w="1559"/>
        <w:gridCol w:w="1293"/>
        <w:gridCol w:w="125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069" w:type="dxa"/>
            <w:vAlign w:val="center"/>
          </w:tcPr>
          <w:p>
            <w:pPr>
              <w:jc w:val="left"/>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岗位人员</w:t>
            </w:r>
          </w:p>
        </w:tc>
        <w:tc>
          <w:tcPr>
            <w:tcW w:w="1254"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项目经理</w:t>
            </w:r>
          </w:p>
        </w:tc>
        <w:tc>
          <w:tcPr>
            <w:tcW w:w="1254"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项目技术负责人</w:t>
            </w:r>
          </w:p>
        </w:tc>
        <w:tc>
          <w:tcPr>
            <w:tcW w:w="1156"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项目生产经理</w:t>
            </w:r>
          </w:p>
        </w:tc>
        <w:tc>
          <w:tcPr>
            <w:tcW w:w="1559"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主办施工员</w:t>
            </w:r>
          </w:p>
        </w:tc>
        <w:tc>
          <w:tcPr>
            <w:tcW w:w="1293"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主办预算员</w:t>
            </w:r>
          </w:p>
        </w:tc>
        <w:tc>
          <w:tcPr>
            <w:tcW w:w="1258" w:type="dxa"/>
            <w:vAlign w:val="center"/>
          </w:tcPr>
          <w:p>
            <w:pPr>
              <w:jc w:val="center"/>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安全</w:t>
            </w:r>
            <w:r>
              <w:rPr>
                <w:rFonts w:hint="eastAsia" w:eastAsia="仿宋_GB2312"/>
                <w:color w:val="000000" w:themeColor="text1"/>
                <w:kern w:val="0"/>
                <w:szCs w:val="32"/>
                <w:highlight w:val="none"/>
                <w14:textFill>
                  <w14:solidFill>
                    <w14:schemeClr w14:val="tx1"/>
                  </w14:solidFill>
                </w14:textFill>
              </w:rPr>
              <w:t>负责人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77" w:hRule="atLeast"/>
          <w:jc w:val="center"/>
        </w:trPr>
        <w:tc>
          <w:tcPr>
            <w:tcW w:w="1069" w:type="dxa"/>
            <w:vAlign w:val="center"/>
          </w:tcPr>
          <w:p>
            <w:pPr>
              <w:ind w:left="105" w:hanging="105" w:hangingChars="50"/>
              <w:jc w:val="left"/>
              <w:rPr>
                <w:rFonts w:eastAsia="仿宋_GB2312"/>
                <w:color w:val="000000" w:themeColor="text1"/>
                <w:kern w:val="0"/>
                <w:szCs w:val="32"/>
                <w:highlight w:val="none"/>
                <w14:textFill>
                  <w14:solidFill>
                    <w14:schemeClr w14:val="tx1"/>
                  </w14:solidFill>
                </w14:textFill>
              </w:rPr>
            </w:pPr>
            <w:r>
              <w:rPr>
                <w:rFonts w:eastAsia="仿宋_GB2312"/>
                <w:color w:val="000000" w:themeColor="text1"/>
                <w:kern w:val="0"/>
                <w:szCs w:val="32"/>
                <w:highlight w:val="none"/>
                <w14:textFill>
                  <w14:solidFill>
                    <w14:schemeClr w14:val="tx1"/>
                  </w14:solidFill>
                </w14:textFill>
              </w:rPr>
              <w:t>违约金额（元）</w:t>
            </w:r>
          </w:p>
        </w:tc>
        <w:tc>
          <w:tcPr>
            <w:tcW w:w="1254"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100万</w:t>
            </w:r>
          </w:p>
        </w:tc>
        <w:tc>
          <w:tcPr>
            <w:tcW w:w="1254"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80万</w:t>
            </w:r>
          </w:p>
        </w:tc>
        <w:tc>
          <w:tcPr>
            <w:tcW w:w="1156"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80万</w:t>
            </w:r>
          </w:p>
        </w:tc>
        <w:tc>
          <w:tcPr>
            <w:tcW w:w="1559"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10万</w:t>
            </w:r>
          </w:p>
        </w:tc>
        <w:tc>
          <w:tcPr>
            <w:tcW w:w="1293"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10万</w:t>
            </w:r>
          </w:p>
        </w:tc>
        <w:tc>
          <w:tcPr>
            <w:tcW w:w="1258" w:type="dxa"/>
            <w:vAlign w:val="center"/>
          </w:tcPr>
          <w:p>
            <w:pPr>
              <w:jc w:val="center"/>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80万</w:t>
            </w:r>
          </w:p>
        </w:tc>
      </w:tr>
    </w:tbl>
    <w:p>
      <w:pPr>
        <w:pStyle w:val="52"/>
        <w:spacing w:before="120" w:beforeLines="50"/>
        <w:ind w:firstLine="420"/>
        <w:rPr>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②</w:t>
      </w:r>
      <w:r>
        <w:rPr>
          <w:rFonts w:hint="eastAsia"/>
          <w:color w:val="000000" w:themeColor="text1"/>
          <w:highlight w:val="none"/>
          <w14:textFill>
            <w14:solidFill>
              <w14:schemeClr w14:val="tx1"/>
            </w14:solidFill>
          </w14:textFill>
        </w:rPr>
        <w:t>分包人应确保项目管理人员在合同生效后半年内不发生变更，合同期内项目管理人员变更比例不得超过30%。如分包人项目管理人员存在</w:t>
      </w:r>
      <w:r>
        <w:rPr>
          <w:rFonts w:hint="eastAsia"/>
          <w:color w:val="000000" w:themeColor="text1"/>
          <w:highlight w:val="none"/>
          <w14:textFill>
            <w14:solidFill>
              <w14:schemeClr w14:val="tx1"/>
            </w14:solidFill>
          </w14:textFill>
        </w:rPr>
        <w:tab/>
      </w:r>
      <w:r>
        <w:rPr>
          <w:rFonts w:hint="eastAsia"/>
          <w:color w:val="000000" w:themeColor="text1"/>
          <w:highlight w:val="none"/>
          <w14:textFill>
            <w14:solidFill>
              <w14:schemeClr w14:val="tx1"/>
            </w14:solidFill>
          </w14:textFill>
        </w:rPr>
        <w:t>疾病、辞职、退休等无法克服、避免的客观情形确需更换的，原则上分包人应至少提前30天内通过承包人向监理人、发包人报送变更申请（附更换原因证明材料和更换人员的详细履历资料，属于疾病需更换的应由三甲医院出具证明），拟更换后的项目管理人员应不低于招投标文件等合同文件中资质、资历、职称、业绩等有关要求、承诺，通过承包人报批，经监理人审核、发包人同意后方能更换。分包人应确保申请材料真实、完整、合法有效，如经发包人发现变更申请存在弄虚作假等违背诚实信用原则的行为，均按500万元/次向承包人支付违约金。除上述无法克服、避免的客观情形外，分包人在合同期内项目管理人员变更比例超过30%的，分包人应向承包人支付</w:t>
      </w:r>
      <w:r>
        <w:rPr>
          <w:color w:val="000000" w:themeColor="text1"/>
          <w:highlight w:val="none"/>
          <w14:textFill>
            <w14:solidFill>
              <w14:schemeClr w14:val="tx1"/>
            </w14:solidFill>
          </w14:textFill>
        </w:rPr>
        <w:t>60</w:t>
      </w:r>
      <w:r>
        <w:rPr>
          <w:rFonts w:hint="eastAsia"/>
          <w:color w:val="000000" w:themeColor="text1"/>
          <w:highlight w:val="none"/>
          <w14:textFill>
            <w14:solidFill>
              <w14:schemeClr w14:val="tx1"/>
            </w14:solidFill>
          </w14:textFill>
        </w:rPr>
        <w:t>万元违约金。经发包人书面确认，承包人有权解除合同。</w:t>
      </w:r>
    </w:p>
    <w:p>
      <w:pPr>
        <w:pStyle w:val="52"/>
        <w:ind w:firstLine="420"/>
        <w:rPr>
          <w:color w:val="000000" w:themeColor="text1"/>
          <w:highlight w:val="none"/>
          <w14:textFill>
            <w14:solidFill>
              <w14:schemeClr w14:val="tx1"/>
            </w14:solidFill>
          </w14:textFill>
        </w:rPr>
      </w:pPr>
      <w:r>
        <w:rPr>
          <w:rFonts w:hint="eastAsia" w:ascii="宋体" w:hAnsi="宋体" w:eastAsia="宋体"/>
          <w:color w:val="000000" w:themeColor="text1"/>
          <w:highlight w:val="none"/>
          <w14:textFill>
            <w14:solidFill>
              <w14:schemeClr w14:val="tx1"/>
            </w14:solidFill>
          </w14:textFill>
        </w:rPr>
        <w:t>③</w:t>
      </w:r>
      <w:r>
        <w:rPr>
          <w:rFonts w:hint="eastAsia" w:ascii="仿宋" w:hAnsi="仿宋" w:eastAsia="仿宋"/>
          <w:color w:val="000000" w:themeColor="text1"/>
          <w:highlight w:val="none"/>
          <w14:textFill>
            <w14:solidFill>
              <w14:schemeClr w14:val="tx1"/>
            </w14:solidFill>
          </w14:textFill>
        </w:rPr>
        <w:t>因已知或可预见的原因（包括非突发性重大疾病、离职后到原单位的关联单位任职等），分包人须在合同生效后半年内申请更换项目经理或其他项目管理人员的，经承包人报批，发包人同意，</w:t>
      </w:r>
      <w:r>
        <w:rPr>
          <w:rFonts w:hint="eastAsia"/>
          <w:color w:val="000000" w:themeColor="text1"/>
          <w:highlight w:val="none"/>
          <w14:textFill>
            <w14:solidFill>
              <w14:schemeClr w14:val="tx1"/>
            </w14:solidFill>
          </w14:textFill>
        </w:rPr>
        <w:t>更换项目经理的违约金为80元/次，更换安全负责人、技术负责人的违约金60万元/次，更换其他项目管理人员的违约金为50万元/次。分包人在合同生效半年后更换项目经理的，经发包人同意，首次更换需支付违约金20万元/次，后续如有更换则每次更换的违约金标准较上一次上浮50%；经发包人同意，分包人更换其他项目管理人员的，首次需向支付违约金10万元/次，后续如有更换则每次更换的违约金标准较上一次上浮50%。</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）分包人项目</w:t>
      </w:r>
      <w:r>
        <w:rPr>
          <w:rFonts w:hint="eastAsia"/>
          <w:color w:val="000000" w:themeColor="text1"/>
          <w:highlight w:val="none"/>
          <w14:textFill>
            <w14:solidFill>
              <w14:schemeClr w14:val="tx1"/>
            </w14:solidFill>
          </w14:textFill>
        </w:rPr>
        <w:t>主要管理人员</w:t>
      </w:r>
      <w:r>
        <w:rPr>
          <w:color w:val="000000" w:themeColor="text1"/>
          <w:highlight w:val="none"/>
          <w14:textFill>
            <w14:solidFill>
              <w14:schemeClr w14:val="tx1"/>
            </w14:solidFill>
          </w14:textFill>
        </w:rPr>
        <w:t>等专业知识、业务水平及管理、协调能力须能满足</w:t>
      </w:r>
      <w:r>
        <w:rPr>
          <w:rFonts w:hint="eastAsia"/>
          <w:color w:val="000000" w:themeColor="text1"/>
          <w:highlight w:val="none"/>
          <w14:textFill>
            <w14:solidFill>
              <w14:schemeClr w14:val="tx1"/>
            </w14:solidFill>
          </w14:textFill>
        </w:rPr>
        <w:t>工作</w:t>
      </w:r>
      <w:r>
        <w:rPr>
          <w:color w:val="000000" w:themeColor="text1"/>
          <w:highlight w:val="none"/>
          <w14:textFill>
            <w14:solidFill>
              <w14:schemeClr w14:val="tx1"/>
            </w14:solidFill>
          </w14:textFill>
        </w:rPr>
        <w:t>要求和服从</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的管理</w:t>
      </w:r>
      <w:r>
        <w:rPr>
          <w:rFonts w:hint="eastAsia"/>
          <w:color w:val="000000" w:themeColor="text1"/>
          <w:highlight w:val="none"/>
          <w14:textFill>
            <w14:solidFill>
              <w14:schemeClr w14:val="tx1"/>
            </w14:solidFill>
          </w14:textFill>
        </w:rPr>
        <w:t>，对不能满足要求者，</w:t>
      </w:r>
      <w:r>
        <w:rPr>
          <w:color w:val="000000" w:themeColor="text1"/>
          <w:highlight w:val="none"/>
          <w14:textFill>
            <w14:solidFill>
              <w14:schemeClr w14:val="tx1"/>
            </w14:solidFill>
          </w14:textFill>
        </w:rPr>
        <w:t>经发包人书面确认</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有权要求分包人在收到书面通知后</w:t>
      </w:r>
      <w:r>
        <w:rPr>
          <w:rFonts w:hint="eastAsia"/>
          <w:color w:val="000000" w:themeColor="text1"/>
          <w:highlight w:val="none"/>
          <w14:textFill>
            <w14:solidFill>
              <w14:schemeClr w14:val="tx1"/>
            </w14:solidFill>
          </w14:textFill>
        </w:rPr>
        <w:t>7天内无条件更换。如分包人拒不更换，或者7天内更换的人员不符合合同约定或发包人、承包人要求的，应按以下标准支付违约金，项目经理为25万元/天，其他项目管理人员为10万元/天，直至更换人员符合发包人、承包人要求为止。同时，经发包人书面确认，承包人有权解除合同，全部责任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 在与造价咨询人进行结算核对过程中，分包人不得向造价咨询人人员请客送礼、赠送钱物，发现一次，</w:t>
      </w:r>
      <w:r>
        <w:rPr>
          <w:rFonts w:hint="eastAsia"/>
          <w:color w:val="000000" w:themeColor="text1"/>
          <w:highlight w:val="none"/>
          <w14:textFill>
            <w14:solidFill>
              <w14:schemeClr w14:val="tx1"/>
            </w14:solidFill>
          </w14:textFill>
        </w:rPr>
        <w:t>视情节</w:t>
      </w:r>
      <w:r>
        <w:rPr>
          <w:color w:val="000000" w:themeColor="text1"/>
          <w:highlight w:val="none"/>
          <w14:textFill>
            <w14:solidFill>
              <w14:schemeClr w14:val="tx1"/>
            </w14:solidFill>
          </w14:textFill>
        </w:rPr>
        <w:t>严重程度分包人须向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支付违约金10</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50万元。</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）合同约定的施工期按日历天计算，不考虑假期，分包人根据有关规定或自行安排员工假期的，分包人应将项目部管理人员值班名单于放假前7个日历天交</w:t>
      </w:r>
      <w:r>
        <w:rPr>
          <w:rFonts w:hint="eastAsia"/>
          <w:color w:val="000000" w:themeColor="text1"/>
          <w:highlight w:val="none"/>
          <w14:textFill>
            <w14:solidFill>
              <w14:schemeClr w14:val="tx1"/>
            </w14:solidFill>
          </w14:textFill>
        </w:rPr>
        <w:t>承包人及发包人</w:t>
      </w:r>
      <w:r>
        <w:rPr>
          <w:color w:val="000000" w:themeColor="text1"/>
          <w:highlight w:val="none"/>
          <w14:textFill>
            <w14:solidFill>
              <w14:schemeClr w14:val="tx1"/>
            </w14:solidFill>
          </w14:textFill>
        </w:rPr>
        <w:t>审批，审批后需变更人员的，分包人应及时通知工程师补办审批手续。分包人安排放假而无人值班的，按1万元每人次每天向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支付违约金，造成工程进度滞后或其他质量、安全事故的，由分包人承担全部责任。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9）项目经理、技术负责人、安全负责人必须按时参加工程会议，因故不能参加的应至少提前5小时提出申请并获得监理人批准方可缺席，否则分包人应按2万元/人次的标准向承包人支付违约金。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22.1.9.2</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工程进度方面：</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本</w:t>
      </w:r>
      <w:r>
        <w:rPr>
          <w:color w:val="000000" w:themeColor="text1"/>
          <w:highlight w:val="none"/>
          <w14:textFill>
            <w14:solidFill>
              <w14:schemeClr w14:val="tx1"/>
            </w14:solidFill>
          </w14:textFill>
        </w:rPr>
        <w:t>工程</w:t>
      </w:r>
      <w:r>
        <w:rPr>
          <w:rFonts w:hint="eastAsia"/>
          <w:color w:val="000000" w:themeColor="text1"/>
          <w:highlight w:val="none"/>
          <w14:textFill>
            <w14:solidFill>
              <w14:schemeClr w14:val="tx1"/>
            </w14:solidFill>
          </w14:textFill>
        </w:rPr>
        <w:t>竣工</w:t>
      </w:r>
      <w:r>
        <w:rPr>
          <w:color w:val="000000" w:themeColor="text1"/>
          <w:highlight w:val="none"/>
          <w14:textFill>
            <w14:solidFill>
              <w14:schemeClr w14:val="tx1"/>
            </w14:solidFill>
          </w14:textFill>
        </w:rPr>
        <w:t>验收</w:t>
      </w:r>
      <w:r>
        <w:rPr>
          <w:rFonts w:hint="eastAsia"/>
          <w:color w:val="000000" w:themeColor="text1"/>
          <w:highlight w:val="none"/>
          <w14:textFill>
            <w14:solidFill>
              <w14:schemeClr w14:val="tx1"/>
            </w14:solidFill>
          </w14:textFill>
        </w:rPr>
        <w:t>且移交</w:t>
      </w:r>
      <w:r>
        <w:rPr>
          <w:color w:val="000000" w:themeColor="text1"/>
          <w:highlight w:val="none"/>
          <w14:textFill>
            <w14:solidFill>
              <w14:schemeClr w14:val="tx1"/>
            </w14:solidFill>
          </w14:textFill>
        </w:rPr>
        <w:t>后，分包人的施工人员、材料、设备必须在</w:t>
      </w:r>
      <w:r>
        <w:rPr>
          <w:rFonts w:hint="eastAsia"/>
          <w:color w:val="000000" w:themeColor="text1"/>
          <w:highlight w:val="none"/>
          <w:u w:val="single"/>
          <w14:textFill>
            <w14:solidFill>
              <w14:schemeClr w14:val="tx1"/>
            </w14:solidFill>
          </w14:textFill>
        </w:rPr>
        <w:t xml:space="preserve"> 15</w:t>
      </w:r>
      <w:r>
        <w:rPr>
          <w:color w:val="000000" w:themeColor="text1"/>
          <w:highlight w:val="none"/>
          <w:u w:val="single"/>
          <w14:textFill>
            <w14:solidFill>
              <w14:schemeClr w14:val="tx1"/>
            </w14:solidFill>
          </w14:textFill>
        </w:rPr>
        <w:t>天</w:t>
      </w:r>
      <w:r>
        <w:rPr>
          <w:color w:val="000000" w:themeColor="text1"/>
          <w:highlight w:val="none"/>
          <w14:textFill>
            <w14:solidFill>
              <w14:schemeClr w14:val="tx1"/>
            </w14:solidFill>
          </w14:textFill>
        </w:rPr>
        <w:t>内全部退出现场，每延迟一天退场</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收取分包人</w:t>
      </w:r>
      <w:r>
        <w:rPr>
          <w:rFonts w:hint="eastAsia"/>
          <w:color w:val="000000" w:themeColor="text1"/>
          <w:highlight w:val="none"/>
          <w:u w:val="single"/>
          <w14:textFill>
            <w14:solidFill>
              <w14:schemeClr w14:val="tx1"/>
            </w14:solidFill>
          </w14:textFill>
        </w:rPr>
        <w:t>5</w:t>
      </w:r>
      <w:r>
        <w:rPr>
          <w:color w:val="000000" w:themeColor="text1"/>
          <w:highlight w:val="none"/>
          <w:u w:val="single"/>
          <w14:textFill>
            <w14:solidFill>
              <w14:schemeClr w14:val="tx1"/>
            </w14:solidFill>
          </w14:textFill>
        </w:rPr>
        <w:t>000元</w:t>
      </w:r>
      <w:r>
        <w:rPr>
          <w:color w:val="000000" w:themeColor="text1"/>
          <w:highlight w:val="none"/>
          <w14:textFill>
            <w14:solidFill>
              <w14:schemeClr w14:val="tx1"/>
            </w14:solidFill>
          </w14:textFill>
        </w:rPr>
        <w:t>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2）无论因何原因按照约定或法定解除合同的，分包人的施工人员、材料、设备必须在1</w:t>
      </w: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天内清场并全部退出现场，如逾期退场或拒绝退场的，每延迟一天退场，</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收取分包人5000元违约金。分包人拒绝清场的，应同时承担</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委托第三方清场的费用。</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3）分包人延迟提供符合以上规定的竣工图纸及竣工资料的，每延迟1天，</w:t>
      </w:r>
      <w:r>
        <w:rPr>
          <w:rFonts w:hint="eastAsia"/>
          <w:color w:val="000000" w:themeColor="text1"/>
          <w:highlight w:val="none"/>
          <w14:textFill>
            <w14:solidFill>
              <w14:schemeClr w14:val="tx1"/>
            </w14:solidFill>
          </w14:textFill>
        </w:rPr>
        <w:t>须向承包人支付签约合同价格的</w:t>
      </w:r>
      <w:r>
        <w:rPr>
          <w:rFonts w:hint="eastAsia"/>
          <w:color w:val="000000" w:themeColor="text1"/>
          <w:highlight w:val="none"/>
          <w:u w:val="single"/>
          <w14:textFill>
            <w14:solidFill>
              <w14:schemeClr w14:val="tx1"/>
            </w14:solidFill>
          </w14:textFill>
        </w:rPr>
        <w:t>万分之五</w:t>
      </w:r>
      <w:r>
        <w:rPr>
          <w:rFonts w:hint="eastAsia"/>
          <w:color w:val="000000" w:themeColor="text1"/>
          <w:highlight w:val="none"/>
          <w14:textFill>
            <w14:solidFill>
              <w14:schemeClr w14:val="tx1"/>
            </w14:solidFill>
          </w14:textFill>
        </w:rPr>
        <w:t>作为违约金。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22.1.9.3工程质量方面：</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1）分包人在施工过程中，因质量问题需对已完工程进行整改、返工的，产生的费用增加由分包人全部负责。若分包人有违反质量评定标准的质量问题，</w:t>
      </w:r>
      <w:r>
        <w:rPr>
          <w:rFonts w:hint="eastAsia"/>
          <w:color w:val="000000" w:themeColor="text1"/>
          <w:highlight w:val="none"/>
          <w14:textFill>
            <w14:solidFill>
              <w14:schemeClr w14:val="tx1"/>
            </w14:solidFill>
          </w14:textFill>
        </w:rPr>
        <w:t>或者导致承包人、发包人、监理人、建设主管部门就质量问题发出停工整改通知的，</w:t>
      </w:r>
      <w:r>
        <w:rPr>
          <w:color w:val="000000" w:themeColor="text1"/>
          <w:highlight w:val="none"/>
          <w14:textFill>
            <w14:solidFill>
              <w14:schemeClr w14:val="tx1"/>
            </w14:solidFill>
          </w14:textFill>
        </w:rPr>
        <w:t>视情节轻重，每次（项）须承担1-5万元的违约金，同时亦不免除分包人对不合格工程进行整改、返工的责任、工期不予顺延。</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2）分包人未按</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发包人审定的施工方案、施工工艺</w:t>
      </w:r>
      <w:r>
        <w:rPr>
          <w:rFonts w:hint="eastAsia"/>
          <w:color w:val="000000" w:themeColor="text1"/>
          <w:highlight w:val="none"/>
          <w14:textFill>
            <w14:solidFill>
              <w14:schemeClr w14:val="tx1"/>
            </w14:solidFill>
          </w14:textFill>
        </w:rPr>
        <w:t>和图纸</w:t>
      </w:r>
      <w:r>
        <w:rPr>
          <w:color w:val="000000" w:themeColor="text1"/>
          <w:highlight w:val="none"/>
          <w14:textFill>
            <w14:solidFill>
              <w14:schemeClr w14:val="tx1"/>
            </w14:solidFill>
          </w14:textFill>
        </w:rPr>
        <w:t>进行施工的，每次（项）须承担</w:t>
      </w:r>
      <w:r>
        <w:rPr>
          <w:rFonts w:hint="eastAsia"/>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t xml:space="preserve">万元的违约金，同时亦不免除分包人对不合格施工方案、施工工艺的整改责任。  </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3）分包人对</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指出的质量问题未按时整改并回复，分包人应限期整改完成并向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支付1000元/条/天的违约金。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w:t>
      </w:r>
      <w:r>
        <w:rPr>
          <w:color w:val="000000" w:themeColor="text1"/>
          <w:highlight w:val="none"/>
          <w14:textFill>
            <w14:solidFill>
              <w14:schemeClr w14:val="tx1"/>
            </w14:solidFill>
          </w14:textFill>
        </w:rPr>
        <w:t>）工程施工期间和缺陷责任期内，由于分包人责任出现质量问题、安全事故或者其他原因，使发包人或项目受到报纸、电视等媒体的曝光或政府有关主管部门的通报批评的，每出现一次，分包人应向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t>0万元违约金。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w:t>
      </w:r>
      <w:r>
        <w:rPr>
          <w:color w:val="000000" w:themeColor="text1"/>
          <w:highlight w:val="none"/>
          <w14:textFill>
            <w14:solidFill>
              <w14:schemeClr w14:val="tx1"/>
            </w14:solidFill>
          </w14:textFill>
        </w:rPr>
        <w:t>）分包人未经报验，擅自进行下道工序施工的，分包人应拆除擅自施工的部位，并向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14:textFill>
            <w14:solidFill>
              <w14:schemeClr w14:val="tx1"/>
            </w14:solidFill>
          </w14:textFill>
        </w:rPr>
        <w:t>1万</w:t>
      </w:r>
      <w:r>
        <w:rPr>
          <w:color w:val="000000" w:themeColor="text1"/>
          <w:highlight w:val="none"/>
          <w14:textFill>
            <w14:solidFill>
              <w14:schemeClr w14:val="tx1"/>
            </w14:solidFill>
          </w14:textFill>
        </w:rPr>
        <w:t>元/次的违约金。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隐蔽工程未经承包人和发包人同意分包人私自进行隐蔽的，分包人应向承包人支付1~5万元的违约金，且分包人应无条件配合承包人和发包人进行检验，如检验不合格分包人须无条件返工直至验收合格。该等检验、返工等所发生的费用、工期延误由分包人自行承担，同时分包人应承担因此而发生的承包人或发包人与第三方单位的损失，且第三方单位的工期索赔应由分包人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因分包人施工质量问题造成承包人或发包人损失的，分包人应赔偿承包人或发包人一切损失，并按以下约定向总承包支付违约金：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因分包人施工质量问题造成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发包人损失100万以上的，每出现一次，分包人应向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支付20万元违约金；造成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发包人损失50万以上、100万以下的，每出现一次分包人应向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支付15万元违约金；造成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发包人损失20万以上、50万以下的，每出现一次分包人应向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支付10万元违约金；造成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发包人损失20万以下的，每出现一次分包人应向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支付5万元违约金。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发包人在施工过程中发现分包人未按照本项目的质量控制点要求进行施工的，其中，每发现一次一类控制点的，分包人应向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u w:val="single"/>
          <w14:textFill>
            <w14:solidFill>
              <w14:schemeClr w14:val="tx1"/>
            </w14:solidFill>
          </w14:textFill>
        </w:rPr>
        <w:t>5</w:t>
      </w:r>
      <w:r>
        <w:rPr>
          <w:color w:val="000000" w:themeColor="text1"/>
          <w:highlight w:val="none"/>
          <w:u w:val="single"/>
          <w14:textFill>
            <w14:solidFill>
              <w14:schemeClr w14:val="tx1"/>
            </w14:solidFill>
          </w14:textFill>
        </w:rPr>
        <w:t>000元</w:t>
      </w:r>
      <w:r>
        <w:rPr>
          <w:color w:val="000000" w:themeColor="text1"/>
          <w:highlight w:val="none"/>
          <w14:textFill>
            <w14:solidFill>
              <w14:schemeClr w14:val="tx1"/>
            </w14:solidFill>
          </w14:textFill>
        </w:rPr>
        <w:t>违约金；每发现一次二类控制点的，分包人应向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u w:val="single"/>
          <w14:textFill>
            <w14:solidFill>
              <w14:schemeClr w14:val="tx1"/>
            </w14:solidFill>
          </w14:textFill>
        </w:rPr>
        <w:t>30</w:t>
      </w:r>
      <w:r>
        <w:rPr>
          <w:color w:val="000000" w:themeColor="text1"/>
          <w:highlight w:val="none"/>
          <w:u w:val="single"/>
          <w14:textFill>
            <w14:solidFill>
              <w14:schemeClr w14:val="tx1"/>
            </w14:solidFill>
          </w14:textFill>
        </w:rPr>
        <w:t>00元</w:t>
      </w:r>
      <w:r>
        <w:rPr>
          <w:color w:val="000000" w:themeColor="text1"/>
          <w:highlight w:val="none"/>
          <w14:textFill>
            <w14:solidFill>
              <w14:schemeClr w14:val="tx1"/>
            </w14:solidFill>
          </w14:textFill>
        </w:rPr>
        <w:t>违约金；每发现一次三类控制点的，分包人应向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rFonts w:hint="eastAsia"/>
          <w:color w:val="000000" w:themeColor="text1"/>
          <w:highlight w:val="none"/>
          <w:u w:val="single"/>
          <w14:textFill>
            <w14:solidFill>
              <w14:schemeClr w14:val="tx1"/>
            </w14:solidFill>
          </w14:textFill>
        </w:rPr>
        <w:t>10</w:t>
      </w:r>
      <w:r>
        <w:rPr>
          <w:color w:val="000000" w:themeColor="text1"/>
          <w:highlight w:val="none"/>
          <w:u w:val="single"/>
          <w14:textFill>
            <w14:solidFill>
              <w14:schemeClr w14:val="tx1"/>
            </w14:solidFill>
          </w14:textFill>
        </w:rPr>
        <w:t>00元</w:t>
      </w:r>
      <w:r>
        <w:rPr>
          <w:color w:val="000000" w:themeColor="text1"/>
          <w:highlight w:val="none"/>
          <w14:textFill>
            <w14:solidFill>
              <w14:schemeClr w14:val="tx1"/>
            </w14:solidFill>
          </w14:textFill>
        </w:rPr>
        <w:t>违约金。（一类控制点与主体结构安全相关，整改难度极大；二类控制点对项目整体工程质量起指导性或关键性作用；三类控制点需要按质量规范执行，对施工过程中工序、工艺进行纠偏。）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分包人使用了不合格材料或工程设备，工程质量达不到标准要求，要求分包人立即采取措施进行补救，直至达到合同要求的质量标准，由此增加的费用和（或）工期延误由分包人承担。每发生一次该事项分包人还需向承包人支付5万元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10）分包人提交的深化设计图纸必须一次性满足承包人、发包人的深化设计要求，否则，每超过一次，分包人须向承包人承担1000元/次违约责任，且不免除分包人需完成的深化设计任务。</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22.1.9.4</w:t>
      </w:r>
      <w:r>
        <w:rPr>
          <w:rFonts w:hint="eastAsia"/>
          <w:color w:val="000000" w:themeColor="text1"/>
          <w:highlight w:val="none"/>
          <w14:textFill>
            <w14:solidFill>
              <w14:schemeClr w14:val="tx1"/>
            </w14:solidFill>
          </w14:textFill>
        </w:rPr>
        <w:t>绿色施工安全防护措施</w:t>
      </w:r>
      <w:r>
        <w:rPr>
          <w:color w:val="000000" w:themeColor="text1"/>
          <w:highlight w:val="none"/>
          <w14:textFill>
            <w14:solidFill>
              <w14:schemeClr w14:val="tx1"/>
            </w14:solidFill>
          </w14:textFill>
        </w:rPr>
        <w:t>方面：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发生分包人施工人员或者劳务人员以非正常手段索取工程款或者聚众滋事或到党政机关、司法部门、发包人所在单位及其上级主管公司非法上访、聚众闹事、拉横幅、静坐、游行等事件的，每发生一次，分包人应向承包人支付人民币</w:t>
      </w:r>
      <w:r>
        <w:rPr>
          <w:rFonts w:hint="eastAsia"/>
          <w:color w:val="000000" w:themeColor="text1"/>
          <w:highlight w:val="none"/>
          <w:u w:val="single"/>
          <w14:textFill>
            <w14:solidFill>
              <w14:schemeClr w14:val="tx1"/>
            </w14:solidFill>
          </w14:textFill>
        </w:rPr>
        <w:t xml:space="preserve"> 20 </w:t>
      </w:r>
      <w:r>
        <w:rPr>
          <w:rFonts w:hint="eastAsia"/>
          <w:color w:val="000000" w:themeColor="text1"/>
          <w:highlight w:val="none"/>
          <w14:textFill>
            <w14:solidFill>
              <w14:schemeClr w14:val="tx1"/>
            </w14:solidFill>
          </w14:textFill>
        </w:rPr>
        <w:t>万元/次的违约金。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2）安全文明施工若达不到项目所在地市级建设行政主管部门安全文明验收标准或者验收后不能保持到工程移交完毕的，分包人应限期整改完成，并向承包人支付人民币</w:t>
      </w:r>
      <w:r>
        <w:rPr>
          <w:rFonts w:hint="eastAsia"/>
          <w:color w:val="000000" w:themeColor="text1"/>
          <w:highlight w:val="none"/>
          <w:u w:val="single"/>
          <w14:textFill>
            <w14:solidFill>
              <w14:schemeClr w14:val="tx1"/>
            </w14:solidFill>
          </w14:textFill>
        </w:rPr>
        <w:t xml:space="preserve"> 1万 </w:t>
      </w:r>
      <w:r>
        <w:rPr>
          <w:rFonts w:hint="eastAsia"/>
          <w:color w:val="000000" w:themeColor="text1"/>
          <w:highlight w:val="none"/>
          <w14:textFill>
            <w14:solidFill>
              <w14:schemeClr w14:val="tx1"/>
            </w14:solidFill>
          </w14:textFill>
        </w:rPr>
        <w:t>元的违约金。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3）分包人违反发包人现场管理制度有关规定的，按照发包人现场管理制度的有关规定处理，并视实际情况支付违约金人民币</w:t>
      </w:r>
      <w:r>
        <w:rPr>
          <w:rFonts w:hint="eastAsia"/>
          <w:color w:val="000000" w:themeColor="text1"/>
          <w:highlight w:val="none"/>
          <w:u w:val="single"/>
          <w14:textFill>
            <w14:solidFill>
              <w14:schemeClr w14:val="tx1"/>
            </w14:solidFill>
          </w14:textFill>
        </w:rPr>
        <w:t xml:space="preserve"> 5000 </w:t>
      </w:r>
      <w:r>
        <w:rPr>
          <w:rFonts w:hint="eastAsia"/>
          <w:color w:val="000000" w:themeColor="text1"/>
          <w:highlight w:val="none"/>
          <w14:textFill>
            <w14:solidFill>
              <w14:schemeClr w14:val="tx1"/>
            </w14:solidFill>
          </w14:textFill>
        </w:rPr>
        <w:t>元。</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4）分包人对监理通知或发包人指出的安全问题未按时整改并回复，分包人应限期整改完成并向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color w:val="000000" w:themeColor="text1"/>
          <w:highlight w:val="none"/>
          <w:u w:val="single"/>
          <w14:textFill>
            <w14:solidFill>
              <w14:schemeClr w14:val="tx1"/>
            </w14:solidFill>
          </w14:textFill>
        </w:rPr>
        <w:t>5000元/次</w:t>
      </w:r>
      <w:r>
        <w:rPr>
          <w:color w:val="000000" w:themeColor="text1"/>
          <w:highlight w:val="none"/>
          <w14:textFill>
            <w14:solidFill>
              <w14:schemeClr w14:val="tx1"/>
            </w14:solidFill>
          </w14:textFill>
        </w:rPr>
        <w:t>违约金，对严重安全隐患未及时整改的，分包人向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w:t>
      </w:r>
      <w:r>
        <w:rPr>
          <w:color w:val="000000" w:themeColor="text1"/>
          <w:highlight w:val="none"/>
          <w:u w:val="single"/>
          <w14:textFill>
            <w14:solidFill>
              <w14:schemeClr w14:val="tx1"/>
            </w14:solidFill>
          </w14:textFill>
        </w:rPr>
        <w:t>10000元/次</w:t>
      </w:r>
      <w:r>
        <w:rPr>
          <w:color w:val="000000" w:themeColor="text1"/>
          <w:highlight w:val="none"/>
          <w14:textFill>
            <w14:solidFill>
              <w14:schemeClr w14:val="tx1"/>
            </w14:solidFill>
          </w14:textFill>
        </w:rPr>
        <w:t>的违约金，并在当月进度款中扣除。</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5）分包人应保证施工场地清洁符合环境卫生管理的有关要求，做到工完场清，即建筑垃圾须及时清运出场，否则</w:t>
      </w:r>
      <w:r>
        <w:rPr>
          <w:rFonts w:hint="eastAsia"/>
          <w:color w:val="000000" w:themeColor="text1"/>
          <w:highlight w:val="none"/>
          <w14:textFill>
            <w14:solidFill>
              <w14:schemeClr w14:val="tx1"/>
            </w14:solidFill>
          </w14:textFill>
        </w:rPr>
        <w:t>，经发包人书面确认，承包人</w:t>
      </w:r>
      <w:r>
        <w:rPr>
          <w:color w:val="000000" w:themeColor="text1"/>
          <w:highlight w:val="none"/>
          <w14:textFill>
            <w14:solidFill>
              <w14:schemeClr w14:val="tx1"/>
            </w14:solidFill>
          </w14:textFill>
        </w:rPr>
        <w:t>有权另行委托他人清理，发生的费用由分包人双倍承担，且不低于</w:t>
      </w:r>
      <w:r>
        <w:rPr>
          <w:color w:val="000000" w:themeColor="text1"/>
          <w:highlight w:val="none"/>
          <w:u w:val="single"/>
          <w14:textFill>
            <w14:solidFill>
              <w14:schemeClr w14:val="tx1"/>
            </w14:solidFill>
          </w14:textFill>
        </w:rPr>
        <w:t>2000元/次</w:t>
      </w:r>
      <w:r>
        <w:rPr>
          <w:color w:val="000000" w:themeColor="text1"/>
          <w:highlight w:val="none"/>
          <w14:textFill>
            <w14:solidFill>
              <w14:schemeClr w14:val="tx1"/>
            </w14:solidFill>
          </w14:textFill>
        </w:rPr>
        <w:t>。</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color w:val="000000" w:themeColor="text1"/>
          <w:highlight w:val="none"/>
          <w14:textFill>
            <w14:solidFill>
              <w14:schemeClr w14:val="tx1"/>
            </w14:solidFill>
          </w14:textFill>
        </w:rPr>
        <w:t>）对于分包人未予实施的分项安全文明措施项目，</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将对包干安全文明措施费作相应的扣减，该费用将直接从合同总价中扣除。其他违反本规定的行为，</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有权按照本合同的条款收取违约金。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w:t>
      </w:r>
      <w:r>
        <w:rPr>
          <w:color w:val="000000" w:themeColor="text1"/>
          <w:highlight w:val="none"/>
          <w14:textFill>
            <w14:solidFill>
              <w14:schemeClr w14:val="tx1"/>
            </w14:solidFill>
          </w14:textFill>
        </w:rPr>
        <w:t>）分包人因自身原因造成安全事故（含工程质量事故）的，除按国家规定</w:t>
      </w:r>
      <w:r>
        <w:rPr>
          <w:rFonts w:hint="eastAsia"/>
          <w:color w:val="000000" w:themeColor="text1"/>
          <w:highlight w:val="none"/>
          <w14:textFill>
            <w14:solidFill>
              <w14:schemeClr w14:val="tx1"/>
            </w14:solidFill>
          </w14:textFill>
        </w:rPr>
        <w:t>（《中华人民共和国安全生产法》《建设工程安全生产管理条例》（国务院令第393 号）等安全生产相关法律法规）</w:t>
      </w:r>
      <w:r>
        <w:rPr>
          <w:color w:val="000000" w:themeColor="text1"/>
          <w:highlight w:val="none"/>
          <w14:textFill>
            <w14:solidFill>
              <w14:schemeClr w14:val="tx1"/>
            </w14:solidFill>
          </w14:textFill>
        </w:rPr>
        <w:t>由行政主管部门处罚外，分包人应承担事故处理的所有责任和费用、赔偿</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发包人的一切损失</w:t>
      </w:r>
      <w:r>
        <w:rPr>
          <w:rFonts w:hint="eastAsia"/>
          <w:color w:val="000000" w:themeColor="text1"/>
          <w:highlight w:val="none"/>
          <w14:textFill>
            <w14:solidFill>
              <w14:schemeClr w14:val="tx1"/>
            </w14:solidFill>
          </w14:textFill>
        </w:rPr>
        <w:t>（包括但不限于行政主管部门的罚款、工期等延误损失、第三方索赔、名誉损害、因此增加的费用支出等）</w:t>
      </w:r>
      <w:r>
        <w:rPr>
          <w:color w:val="000000" w:themeColor="text1"/>
          <w:highlight w:val="none"/>
          <w14:textFill>
            <w14:solidFill>
              <w14:schemeClr w14:val="tx1"/>
            </w14:solidFill>
          </w14:textFill>
        </w:rPr>
        <w:t>，</w:t>
      </w:r>
      <w:r>
        <w:rPr>
          <w:rFonts w:hint="eastAsia"/>
          <w:color w:val="000000" w:themeColor="text1"/>
          <w:highlight w:val="none"/>
          <w14:textFill>
            <w14:solidFill>
              <w14:schemeClr w14:val="tx1"/>
            </w14:solidFill>
          </w14:textFill>
        </w:rPr>
        <w:t>并视安全或质量事故严重程度，经发包人书面确认，承包人保留随时解除合同的权利。</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）分包人因自身原因造成安全事故（含工程质量事故）的，还应当承担以下违约责任：（1）发生一般事故，向承包人支付150 万元/次的违约金；发生较大事故，向承包人支付500 万元/次的违约金；发生重大事故，向承包人支付1000 万/次的违约金；发生特别重大事故，向承包人支付2000万/次的违约金。同时，经发包人书面通知，承包人有权并报请主管部门认定不良行为。事故等级的界定按照《生产安全事故报告和处理条例》（国务院令第493 号）、《生产安全事故信息报告和处置办法》（国家安全生产监督管理总局令第21 号）执行；（2）造成人员轻伤的，分包人应另外支付安全违约金5 万元/人次，造成人员重伤的，分包人应支付安全违约金50 万元/人次，造成人员死亡的，分包人应支付安全违约金100 万元/人次。发生事故隐瞒不报的，按前述标准加倍扣收。死亡、重伤和轻伤的界定按照《企业职工伤亡事故分类标准》GB6441—86 执行。（3）因发生生产安全事故、涉险事故或产生事故隐患，被媒体传播造成严重社会负面影响，或导致发包人及其上级单位被政府有关部门通报、约谈、批评或函告警示的，以及因施工不当被有关部门责令停工等情形对发包人造成严重不利影响的，分包人应支付违约金200 万元/次；（4）分包人发生重大及以上生产安全事故，或发生2 次较大生产安全事故，或一年内发生3 次生产安全事故，或出现上述第（3）点情形的，经发包人书面同意，承包人有权选择全部或部分解除合同。合同解除不免除分包人继续依法妥善处理已发生违约情形的责任。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22.1.9.5工程组织管理方面：</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1）分包人违反本合同的约定，不服从</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发包人及</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的管理，对发包人、</w:t>
      </w:r>
      <w:r>
        <w:rPr>
          <w:rFonts w:hint="eastAsia"/>
          <w:color w:val="000000" w:themeColor="text1"/>
          <w:highlight w:val="none"/>
          <w14:textFill>
            <w14:solidFill>
              <w14:schemeClr w14:val="tx1"/>
            </w14:solidFill>
          </w14:textFill>
        </w:rPr>
        <w:t>监理人</w:t>
      </w:r>
      <w:r>
        <w:rPr>
          <w:color w:val="000000" w:themeColor="text1"/>
          <w:highlight w:val="none"/>
          <w14:textFill>
            <w14:solidFill>
              <w14:schemeClr w14:val="tx1"/>
            </w14:solidFill>
          </w14:textFill>
        </w:rPr>
        <w:t>的指令和书面通知（具体形式包括但不限于设计变更通知、工程指令、现场签证、工程联系单、会议纪要等）公开或变相拒不执行的，</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视情节严重程度有权要求分包人支付违约金人民币5000元至50000元，并由分包人承担由此造成的一切经济损失。情节特别严重的，</w:t>
      </w:r>
      <w:r>
        <w:rPr>
          <w:rFonts w:hint="eastAsia"/>
          <w:color w:val="000000" w:themeColor="text1"/>
          <w:highlight w:val="none"/>
          <w14:textFill>
            <w14:solidFill>
              <w14:schemeClr w14:val="tx1"/>
            </w14:solidFill>
          </w14:textFill>
        </w:rPr>
        <w:t>经发包人书面确认，承包人</w:t>
      </w:r>
      <w:r>
        <w:rPr>
          <w:color w:val="000000" w:themeColor="text1"/>
          <w:highlight w:val="none"/>
          <w14:textFill>
            <w14:solidFill>
              <w14:schemeClr w14:val="tx1"/>
            </w14:solidFill>
          </w14:textFill>
        </w:rPr>
        <w:t>有权单方面部分解除合同或解除合同。</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2）分包人项目经理未经</w:t>
      </w:r>
      <w:r>
        <w:rPr>
          <w:rFonts w:hint="eastAsia"/>
          <w:color w:val="000000" w:themeColor="text1"/>
          <w:highlight w:val="none"/>
          <w14:textFill>
            <w14:solidFill>
              <w14:schemeClr w14:val="tx1"/>
            </w14:solidFill>
          </w14:textFill>
        </w:rPr>
        <w:t>承包人和</w:t>
      </w:r>
      <w:r>
        <w:rPr>
          <w:color w:val="000000" w:themeColor="text1"/>
          <w:highlight w:val="none"/>
          <w14:textFill>
            <w14:solidFill>
              <w14:schemeClr w14:val="tx1"/>
            </w14:solidFill>
          </w14:textFill>
        </w:rPr>
        <w:t>发包人同意不参加会议的，每人次须向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支付5000元违约金。</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22.1.9.6 本合同因分包人的原因解除的，分包人应向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支付合同</w:t>
      </w:r>
      <w:r>
        <w:rPr>
          <w:rFonts w:hint="eastAsia"/>
          <w:color w:val="000000" w:themeColor="text1"/>
          <w:highlight w:val="none"/>
          <w14:textFill>
            <w14:solidFill>
              <w14:schemeClr w14:val="tx1"/>
            </w14:solidFill>
          </w14:textFill>
        </w:rPr>
        <w:t>签约合同价格</w:t>
      </w:r>
      <w:r>
        <w:rPr>
          <w:color w:val="000000" w:themeColor="text1"/>
          <w:highlight w:val="none"/>
          <w14:textFill>
            <w14:solidFill>
              <w14:schemeClr w14:val="tx1"/>
            </w14:solidFill>
          </w14:textFill>
        </w:rPr>
        <w:t>20%的违约金，</w:t>
      </w:r>
      <w:r>
        <w:rPr>
          <w:rFonts w:hint="eastAsia"/>
          <w:color w:val="000000" w:themeColor="text1"/>
          <w:highlight w:val="none"/>
          <w14:textFill>
            <w14:solidFill>
              <w14:schemeClr w14:val="tx1"/>
            </w14:solidFill>
          </w14:textFill>
        </w:rPr>
        <w:t>承包人</w:t>
      </w:r>
      <w:r>
        <w:rPr>
          <w:color w:val="000000" w:themeColor="text1"/>
          <w:highlight w:val="none"/>
          <w14:textFill>
            <w14:solidFill>
              <w14:schemeClr w14:val="tx1"/>
            </w14:solidFill>
          </w14:textFill>
        </w:rPr>
        <w:t>有权从结算款中直接扣除上述违约金。如上述违约金不足以弥补</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发包人由此所遭受损失的，分包人还应承担赔偿责任。</w:t>
      </w:r>
    </w:p>
    <w:p>
      <w:pPr>
        <w:pStyle w:val="52"/>
        <w:ind w:firstLine="420"/>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t>22.1.9.7 除本合同另有约定外，分包人违约造成</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发包人损失的，除应支付本合同约定的违约金外，还应赔偿</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发包人的损失，分包人承担违约赔偿责任的范围包括但不限于</w:t>
      </w:r>
      <w:r>
        <w:rPr>
          <w:rFonts w:hint="eastAsia"/>
          <w:color w:val="000000" w:themeColor="text1"/>
          <w:highlight w:val="none"/>
          <w14:textFill>
            <w14:solidFill>
              <w14:schemeClr w14:val="tx1"/>
            </w14:solidFill>
          </w14:textFill>
        </w:rPr>
        <w:t>承包人或</w:t>
      </w:r>
      <w:r>
        <w:rPr>
          <w:color w:val="000000" w:themeColor="text1"/>
          <w:highlight w:val="none"/>
          <w14:textFill>
            <w14:solidFill>
              <w14:schemeClr w14:val="tx1"/>
            </w14:solidFill>
          </w14:textFill>
        </w:rPr>
        <w:t>发包人的直接经济损失、向第三方承担的违约责任以及发生的诉讼费、仲裁费、律师费等费用支出。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8</w:t>
      </w:r>
      <w:r>
        <w:rPr>
          <w:color w:val="000000" w:themeColor="text1"/>
          <w:highlight w:val="none"/>
          <w14:textFill>
            <w14:solidFill>
              <w14:schemeClr w14:val="tx1"/>
            </w14:solidFill>
          </w14:textFill>
        </w:rPr>
        <w:t xml:space="preserve"> </w:t>
      </w:r>
      <w:r>
        <w:rPr>
          <w:rFonts w:hint="eastAsia"/>
          <w:color w:val="000000" w:themeColor="text1"/>
          <w:highlight w:val="none"/>
          <w14:textFill>
            <w14:solidFill>
              <w14:schemeClr w14:val="tx1"/>
            </w14:solidFill>
          </w14:textFill>
        </w:rPr>
        <w:t>在出现以下情况时，发包人有权拒绝分包人参与发包人后续招标项目的投标：</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（1）分包人因过错行为被生效法律文书认定承担违约或侵权责任的；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（2）分包人就其与发包人之间的争议问题向人民法院提起诉讼或向仲裁机构提请仲裁，且该诉讼或仲裁案件尚未审理终结的；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因分包人原因导致发包人被其他单位或个人以诉讼或仲裁方式追索工程款或其他费用，但分包人未按照合同约定承担发包人由此产生的一切经济损失（包括但不限于发包人由此支出的所有诉讼或仲裁费用、律师代理费及其他费用），在收到发包人赔付通知后拒绝赔付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（4）发包人无法接受的分包人严重违约行为。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9 分包人不按期支付货款或工人工资的违约责任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如发现分包人无正当理由不按供货合同约定的费用足额支付或延迟支付给供货单位，分包人须向承包人承担10000元/每次违约责任。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若因分包人原因使得承包人或发包人为其垫付有关费用的，自垫付之日起，分包人应按中国人民银行同期同类存款基准利率向承包人或发包人支付利息，直至垫付费用及利息被发包人在当期应支付的进度款或结算款中抵扣完毕或分包人直接向承包人或发包人偿还该垫付费用及利息为止。同时，除本合同另有约定外，每发生一次垫付行为，承包人有权要求分包人按垫付金额的</w:t>
      </w:r>
      <w:r>
        <w:rPr>
          <w:rFonts w:hint="eastAsia"/>
          <w:color w:val="000000" w:themeColor="text1"/>
          <w:highlight w:val="none"/>
          <w:u w:val="single"/>
          <w14:textFill>
            <w14:solidFill>
              <w14:schemeClr w14:val="tx1"/>
            </w14:solidFill>
          </w14:textFill>
        </w:rPr>
        <w:t>20％</w:t>
      </w:r>
      <w:r>
        <w:rPr>
          <w:rFonts w:hint="eastAsia"/>
          <w:color w:val="000000" w:themeColor="text1"/>
          <w:highlight w:val="none"/>
          <w14:textFill>
            <w14:solidFill>
              <w14:schemeClr w14:val="tx1"/>
            </w14:solidFill>
          </w14:textFill>
        </w:rPr>
        <w:t>向垫付方支付违约金。</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10 分包人发生重大诉讼或仲裁、经营状况严重恶化、资质吊销或降级、重大不利报道、银行账户被冻结及其他对本合同继续履行构成重大不利情形，或进入破产、重整、解散或清算程序的，或者因分包人自身债务问题造成发包人被法院要求协助诉讼保全、协助执行（法院的法律文书形式包括但不限于协助执行通知、履行到期债务通知等协助执行函件），承包人、分包人在发包人通知后14日内不能妥善解决的，经发包人书面确认，承包人有权通知分包人解除本合同，并在约定或承包人指示的期限内完成清场和撤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11 分包人未能按照合同约定履行其他义务，又未能在监理单位或发包人指定的期限内有效改正的，每逾期一日，应向承包人承担合同签约合同价格的万分之一的违约金（专用条款另外有明确约定违约金的，按该等约定执行），且经发包人书面确认，承包人有权随时向分包人发出解除合同通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12 合同解除不免除分包人履行合同项下的清理和结算责任。分包人应将解除合同时的工程现状及经其签署盖章的施工资料全部妥善、清楚地移交予承包人和发包人并经发包人审核确认，分包人须配合发包人另行发包或完成工程善后事宜及向政府部门申报或办理相关手续直至工程完工及验收，并按发包人要求清理和撤离现场，否则承包人有权不支付合同价款并要求分包人承担损失赔偿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13 本合同条款约定的违约责任与其他合同文件或附件约定不一致的，以较严格的责任为准。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22.1.10 关于违约的补充约定：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承包人有权直接从工程款中扣除分包人应支付的违约金或赔偿金，也有权从履约担保中直接扣除。如分包人因此被承包人提取履约担保金额的，分包人应在接到发包人关于提取履约担保金额的通知后7天内补足被提取的履约担保金额。如按本合同相关条款承担违约责任后不足以补偿给发包人、承包人造成的实际损失的，违约金自动按发包人、承包人全部损失额确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发包人上级单位“广东粤海控股集团有限公司”（以下简称“粤海控股集团”）将定期对分包人进行信用评价，相关评价结果将在粤海控股集团网站等渠道实时予以公布。分包人的不良行为导致其信用评价分在60分以下的，将拒绝分包人参与粤海控股集团及其附属公司工程项目的投标。出现相关情形后，发包人将书面通知承包人及分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因分包单位违约或侵害第三方权益，包括但不限于分包人未按时支付人员工资、劳务费用、材料设备款项，发生安全责任事故，邻近设施受损等原因，出现分包人或第三方投诉、罢工、集会、游行、示威、闹事、集聚、围阻发包人或发包人股东、上级主管单位的办公地点或者政府办公部门等情形的，发包人有权通过承包人要求分包人支付违约金50 万元/次。如上述行为在新闻、报纸等媒体（介）传播或被政府部门通报、批评的，发包人有权通过承包人要求分包人支付违约金100 万元/次。经发包人书面同意，承包人有权视情况选择全部或部分解除合同。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22.1.11关于安全生产的补充约定：</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1）发包人或发包人的上级单位对本项目，每月开展不少于一次的项目现场检查，对检查发现的工程分包人安全生产不良行为进行扣分。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2）工程分包人不良扣分以项目为单位按年度进行累计，计分周期为每年1月1日至12月31日，每年12月31日24:00当年度累计扣分自动归零。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3）分包人不良扣分情况通过广东粤海控股集团有限公司（发包人上级单位）统一管理。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4）若分包人承接的单个项目累计扣分</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分、</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分、</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12</w:t>
      </w:r>
      <w:r>
        <w:rPr>
          <w:rFonts w:hint="eastAsia"/>
          <w:color w:val="000000" w:themeColor="text1"/>
          <w:highlight w:val="none"/>
          <w14:textFill>
            <w14:solidFill>
              <w14:schemeClr w14:val="tx1"/>
            </w14:solidFill>
          </w14:textFill>
        </w:rPr>
        <w:t>分时，该承包商分别显示黄灯、橙灯、红灯状态，其中</w:t>
      </w:r>
      <w:r>
        <w:rPr>
          <w:color w:val="000000" w:themeColor="text1"/>
          <w:highlight w:val="none"/>
          <w14:textFill>
            <w14:solidFill>
              <w14:schemeClr w14:val="tx1"/>
            </w14:solidFill>
          </w14:textFill>
        </w:rPr>
        <w:t>N</w:t>
      </w:r>
      <w:r>
        <w:rPr>
          <w:rFonts w:hint="eastAsia"/>
          <w:color w:val="000000" w:themeColor="text1"/>
          <w:highlight w:val="none"/>
          <w14:textFill>
            <w14:solidFill>
              <w14:schemeClr w14:val="tx1"/>
            </w14:solidFill>
          </w14:textFill>
        </w:rPr>
        <w:t>≥</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分将根据扣分程度和不良行为情况对承包商后续投标粤海集团及其下属企业项目予以相应扣分处理。</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5）具体的扣分条款详附件</w:t>
      </w:r>
      <w:r>
        <w:rPr>
          <w:bCs/>
          <w:color w:val="000000" w:themeColor="text1"/>
          <w:highlight w:val="none"/>
          <w14:textFill>
            <w14:solidFill>
              <w14:schemeClr w14:val="tx1"/>
            </w14:solidFill>
          </w14:textFill>
        </w:rPr>
        <w:t>19</w:t>
      </w:r>
      <w:r>
        <w:rPr>
          <w:rFonts w:hint="eastAsia"/>
          <w:bCs/>
          <w:color w:val="000000" w:themeColor="text1"/>
          <w:highlight w:val="none"/>
          <w14:textFill>
            <w14:solidFill>
              <w14:schemeClr w14:val="tx1"/>
            </w14:solidFill>
          </w14:textFill>
        </w:rPr>
        <w:t>。</w:t>
      </w:r>
      <w:bookmarkStart w:id="872" w:name="_Toc31945"/>
      <w:bookmarkStart w:id="873" w:name="_Toc44492626"/>
      <w:bookmarkStart w:id="874" w:name="_Toc91082457"/>
      <w:bookmarkStart w:id="875" w:name="_Toc44228175"/>
      <w:bookmarkStart w:id="876" w:name="_Toc11470"/>
      <w:bookmarkStart w:id="877" w:name="_Toc12456"/>
      <w:bookmarkStart w:id="878" w:name="_Toc38987292"/>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22.1.12 关于不良履约结果应用：</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1）分包人承诺遵守发包人已制定或修订的项目管理规定和要求；</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2）发包人可将本合同分包人履约情况及时通报上级单位广东粤海控股集团有限公司（下称“粤海集团”）。粤海集团有权对分包人的履约情况进行评价（含扣分处理），有权对粤海集团系内供应商进行统筹考核排名并在粤海集团及其下属公司范围内进行公示；</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3）发包人可将分包人拒不履行合同、不诚信行为或廉洁问题等情况向信用评级机构以及行业主管部门等披露或报送。</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22.1.13 合同解除后的工程款结算</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合同约定因分包人违约，经发包人同意，承包人有权选择解除合同的情形，如承包人最终选择解除合同，分包人除承担相应的违约责任外，分包人还应向承包人另行支付签约合同价款（适用于合同解除）或解除部分价款（适用于部分解除）10%的违约金。</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分包人在收到合同解除通知之日起15 天内必须组织施工人员、材料、设备全部退出现场，不得以工程量未经确认而拒绝移交施工场地，每延迟一天退场，分包人须支付5 万元/天的违约金，并且发包人或承包人有权直接进入施工场地，如有分包人员工或农民工、材料商等聚众闹事阻挠发包人或承包人进场施工，因此造成的损失和法律后果与责任全部由分包人承担。分包人必须在前述事件发生后7 日内按合同价或结算价（以价高者为准）的15％另向承包人支付施工场地移交延误的违约金，违约金累计，上不封顶。发包人根据现场施工安排通过承包人通知分包人现场验收已完工工程并核对工程量，分包人不予配合或未在通知的时间签字确认工程量的，以发包人验收结果与发包人现场核对的工程量为准。已完成的工程质量不合格的，分包人应当完成全部整改并承担修复费用，分包人在发包人提出的合理时限内仍拒不整改的，发包人或承包人可委托第三方单位实施，相关所有费用在分包人结算款中扣除。由此导致工期延误的，按照合同中有关工期延误的违约责任条款执行。</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分包人应自已完成工程验收合格且本条前述条款确认工程量之日起30 天内通过承包人向发包人提交完整的结算资料，未按时提交结算资料或提交结算资料后未在限定的时间内按要求补充、修改资料的，经发包人书面同意，承包人有权不予支付工程价款。</w:t>
      </w:r>
    </w:p>
    <w:p>
      <w:pPr>
        <w:pStyle w:val="52"/>
        <w:ind w:firstLine="420"/>
        <w:rPr>
          <w:bCs/>
          <w:color w:val="000000" w:themeColor="text1"/>
          <w:highlight w:val="none"/>
          <w14:textFill>
            <w14:solidFill>
              <w14:schemeClr w14:val="tx1"/>
            </w14:solidFill>
          </w14:textFill>
        </w:rPr>
      </w:pPr>
      <w:r>
        <w:rPr>
          <w:rFonts w:hint="eastAsia"/>
          <w:bCs/>
          <w:color w:val="000000" w:themeColor="text1"/>
          <w:highlight w:val="none"/>
          <w14:textFill>
            <w14:solidFill>
              <w14:schemeClr w14:val="tx1"/>
            </w14:solidFill>
          </w14:textFill>
        </w:rPr>
        <w:t>质量保证金扣留、退还属于合同的清理和结算条款，合同解除后，分包人仍应对其施工的工程承担缺陷保证责任与保修责任，承包人有权扣留3%的结算款作为质量保证金，合同解除的保修期与缺陷责任期自工程整体验收合格、三方（发包人、承包人、分包人）完成工程款结算并交付发包人之日起算。</w:t>
      </w:r>
    </w:p>
    <w:p>
      <w:pPr>
        <w:pStyle w:val="73"/>
        <w:numPr>
          <w:ilvl w:val="0"/>
          <w:numId w:val="4"/>
        </w:num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争议的解决</w:t>
      </w:r>
      <w:bookmarkEnd w:id="872"/>
      <w:bookmarkEnd w:id="873"/>
      <w:bookmarkEnd w:id="874"/>
      <w:bookmarkEnd w:id="875"/>
    </w:p>
    <w:p>
      <w:pPr>
        <w:keepNext/>
        <w:keepLines/>
        <w:spacing w:before="120" w:after="120" w:line="360" w:lineRule="auto"/>
        <w:ind w:firstLine="480" w:firstLineChars="200"/>
        <w:outlineLvl w:val="2"/>
        <w:rPr>
          <w:rFonts w:ascii="Times New Roman" w:hAnsi="Times New Roman" w:eastAsia="黑体"/>
          <w:bCs/>
          <w:color w:val="000000" w:themeColor="text1"/>
          <w:sz w:val="24"/>
          <w:szCs w:val="32"/>
          <w:highlight w:val="none"/>
          <w14:textFill>
            <w14:solidFill>
              <w14:schemeClr w14:val="tx1"/>
            </w14:solidFill>
          </w14:textFill>
        </w:rPr>
      </w:pPr>
      <w:r>
        <w:rPr>
          <w:rFonts w:hint="eastAsia" w:ascii="Times New Roman" w:hAnsi="Times New Roman" w:eastAsia="黑体"/>
          <w:bCs/>
          <w:color w:val="000000" w:themeColor="text1"/>
          <w:sz w:val="24"/>
          <w:szCs w:val="32"/>
          <w:highlight w:val="none"/>
          <w14:textFill>
            <w14:solidFill>
              <w14:schemeClr w14:val="tx1"/>
            </w14:solidFill>
          </w14:textFill>
        </w:rPr>
        <w:t>2</w:t>
      </w:r>
      <w:r>
        <w:rPr>
          <w:rFonts w:ascii="Times New Roman" w:hAnsi="Times New Roman" w:eastAsia="黑体"/>
          <w:bCs/>
          <w:color w:val="000000" w:themeColor="text1"/>
          <w:sz w:val="24"/>
          <w:szCs w:val="32"/>
          <w:highlight w:val="none"/>
          <w14:textFill>
            <w14:solidFill>
              <w14:schemeClr w14:val="tx1"/>
            </w14:solidFill>
          </w14:textFill>
        </w:rPr>
        <w:t>3</w:t>
      </w:r>
      <w:r>
        <w:rPr>
          <w:rFonts w:hint="eastAsia" w:ascii="Times New Roman" w:hAnsi="Times New Roman" w:eastAsia="黑体"/>
          <w:bCs/>
          <w:color w:val="000000" w:themeColor="text1"/>
          <w:sz w:val="24"/>
          <w:szCs w:val="32"/>
          <w:highlight w:val="none"/>
          <w14:textFill>
            <w14:solidFill>
              <w14:schemeClr w14:val="tx1"/>
            </w14:solidFill>
          </w14:textFill>
        </w:rPr>
        <w:t>.1 争议的解决方式</w:t>
      </w:r>
    </w:p>
    <w:p>
      <w:pPr>
        <w:autoSpaceDE w:val="0"/>
        <w:autoSpaceDN w:val="0"/>
        <w:adjustRightInd w:val="0"/>
        <w:spacing w:line="360" w:lineRule="auto"/>
        <w:ind w:firstLine="420" w:firstLineChars="200"/>
        <w:jc w:val="left"/>
        <w:rPr>
          <w:color w:val="000000" w:themeColor="text1"/>
          <w:highlight w:val="none"/>
          <w14:textFill>
            <w14:solidFill>
              <w14:schemeClr w14:val="tx1"/>
            </w14:solidFill>
          </w14:textFill>
        </w:rPr>
      </w:pPr>
      <w:r>
        <w:rPr>
          <w:rFonts w:hint="eastAsia" w:ascii="Times New Roman" w:hAnsi="Times New Roman" w:eastAsia="仿宋_GB2312"/>
          <w:color w:val="000000" w:themeColor="text1"/>
          <w:kern w:val="0"/>
          <w:szCs w:val="32"/>
          <w:highlight w:val="none"/>
          <w14:textFill>
            <w14:solidFill>
              <w14:schemeClr w14:val="tx1"/>
            </w14:solidFill>
          </w14:textFill>
        </w:rPr>
        <w:t>通用条款2</w:t>
      </w:r>
      <w:r>
        <w:rPr>
          <w:rFonts w:ascii="Times New Roman" w:hAnsi="Times New Roman" w:eastAsia="仿宋_GB2312"/>
          <w:color w:val="000000" w:themeColor="text1"/>
          <w:kern w:val="0"/>
          <w:szCs w:val="32"/>
          <w:highlight w:val="none"/>
          <w14:textFill>
            <w14:solidFill>
              <w14:schemeClr w14:val="tx1"/>
            </w14:solidFill>
          </w14:textFill>
        </w:rPr>
        <w:t>3.1.1</w:t>
      </w:r>
      <w:r>
        <w:rPr>
          <w:rFonts w:hint="eastAsia" w:ascii="Times New Roman" w:hAnsi="Times New Roman" w:eastAsia="仿宋_GB2312"/>
          <w:color w:val="000000" w:themeColor="text1"/>
          <w:kern w:val="0"/>
          <w:szCs w:val="32"/>
          <w:highlight w:val="none"/>
          <w14:textFill>
            <w14:solidFill>
              <w14:schemeClr w14:val="tx1"/>
            </w14:solidFill>
          </w14:textFill>
        </w:rPr>
        <w:t>条修改为：合同当事人双方在履行合同时发生争议，双方应友好协商，可以采取和解或者要求有关主管部门调解。当事人不愿和解、调解或者和解、调解不成的，采取向工程所在地有管辖权的人民法院提起诉讼的方式解决。</w:t>
      </w:r>
    </w:p>
    <w:p>
      <w:pPr>
        <w:pStyle w:val="73"/>
        <w:rPr>
          <w:color w:val="000000" w:themeColor="text1"/>
          <w:highlight w:val="none"/>
          <w14:textFill>
            <w14:solidFill>
              <w14:schemeClr w14:val="tx1"/>
            </w14:solidFill>
          </w14:textFill>
        </w:rPr>
      </w:pPr>
      <w:bookmarkStart w:id="879" w:name="_Toc44492627"/>
      <w:bookmarkStart w:id="880" w:name="_Toc15830"/>
      <w:bookmarkStart w:id="881" w:name="_Toc91082458"/>
      <w:bookmarkStart w:id="882" w:name="_Toc44228176"/>
      <w:r>
        <w:rPr>
          <w:rFonts w:hint="eastAsia"/>
          <w:color w:val="000000" w:themeColor="text1"/>
          <w:highlight w:val="none"/>
          <w14:textFill>
            <w14:solidFill>
              <w14:schemeClr w14:val="tx1"/>
            </w14:solidFill>
          </w14:textFill>
        </w:rPr>
        <w:t>2</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合同的解除</w:t>
      </w:r>
      <w:bookmarkEnd w:id="879"/>
      <w:bookmarkEnd w:id="880"/>
      <w:bookmarkEnd w:id="881"/>
      <w:bookmarkEnd w:id="882"/>
    </w:p>
    <w:p>
      <w:pPr>
        <w:keepNext/>
        <w:keepLines/>
        <w:spacing w:before="120" w:after="120" w:line="360" w:lineRule="auto"/>
        <w:ind w:firstLine="480" w:firstLineChars="200"/>
        <w:outlineLvl w:val="2"/>
        <w:rPr>
          <w:rFonts w:eastAsia="仿宋_GB2312"/>
          <w:color w:val="000000" w:themeColor="text1"/>
          <w:kern w:val="0"/>
          <w:szCs w:val="21"/>
          <w:highlight w:val="none"/>
          <w14:textFill>
            <w14:solidFill>
              <w14:schemeClr w14:val="tx1"/>
            </w14:solidFill>
          </w14:textFill>
        </w:rPr>
      </w:pPr>
      <w:r>
        <w:rPr>
          <w:rFonts w:eastAsia="黑体"/>
          <w:bCs/>
          <w:color w:val="000000" w:themeColor="text1"/>
          <w:sz w:val="24"/>
          <w:szCs w:val="32"/>
          <w:highlight w:val="none"/>
          <w14:textFill>
            <w14:solidFill>
              <w14:schemeClr w14:val="tx1"/>
            </w14:solidFill>
          </w14:textFill>
        </w:rPr>
        <w:t>24.1</w:t>
      </w:r>
      <w:r>
        <w:rPr>
          <w:rFonts w:eastAsia="仿宋_GB2312"/>
          <w:color w:val="000000" w:themeColor="text1"/>
          <w:kern w:val="0"/>
          <w:szCs w:val="21"/>
          <w:highlight w:val="none"/>
          <w14:textFill>
            <w14:solidFill>
              <w14:schemeClr w14:val="tx1"/>
            </w14:solidFill>
          </w14:textFill>
        </w:rPr>
        <w:t xml:space="preserve"> </w:t>
      </w:r>
      <w:r>
        <w:rPr>
          <w:rFonts w:hint="eastAsia" w:eastAsia="黑体"/>
          <w:bCs/>
          <w:color w:val="000000" w:themeColor="text1"/>
          <w:sz w:val="24"/>
          <w:szCs w:val="32"/>
          <w:highlight w:val="none"/>
          <w14:textFill>
            <w14:solidFill>
              <w14:schemeClr w14:val="tx1"/>
            </w14:solidFill>
          </w14:textFill>
        </w:rPr>
        <w:t>由于</w:t>
      </w:r>
      <w:r>
        <w:rPr>
          <w:rFonts w:hint="eastAsia" w:ascii="Times New Roman" w:hAnsi="Times New Roman" w:eastAsia="黑体"/>
          <w:bCs/>
          <w:color w:val="000000" w:themeColor="text1"/>
          <w:sz w:val="24"/>
          <w:szCs w:val="32"/>
          <w:highlight w:val="none"/>
          <w14:textFill>
            <w14:solidFill>
              <w14:schemeClr w14:val="tx1"/>
            </w14:solidFill>
          </w14:textFill>
        </w:rPr>
        <w:t>发包人</w:t>
      </w:r>
      <w:r>
        <w:rPr>
          <w:rFonts w:hint="eastAsia" w:eastAsia="黑体"/>
          <w:bCs/>
          <w:color w:val="000000" w:themeColor="text1"/>
          <w:sz w:val="24"/>
          <w:szCs w:val="32"/>
          <w:highlight w:val="none"/>
          <w14:textFill>
            <w14:solidFill>
              <w14:schemeClr w14:val="tx1"/>
            </w14:solidFill>
          </w14:textFill>
        </w:rPr>
        <w:t>原因解除本合同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发包人根据市场需要，工程停建、缓建或工程设计修改后相应承包工程项目不存在时，有权单方面解除本合同或解除本合同的部分工作，并向分包人发出解除本合同通知。发包人解除本合同并不影响其根据本合同约定享有的任何其他权利。</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（2）合同解除的处理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应妥善做好已完工程和已购材料、设备的保护和移交工作，并按发包人要求将自有机械设备和人员撤出施工场地。发包人为分包人撤出提供必要条件，已完工程价款在分包人根据发包人要求完全撤离施工场地后办理结算手续后支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2）分包人所有人员、设备必须在收到解除本合同书面通知后【</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5】天内撤离施工场地并向发包人移交所有工程资料和发包人交予分包人使用的材料/设备/设施/配件、工具或其他物品。否则，分包人留在现场的设备的安全与发包人无关，并且发包人可在本合同解除之后安排其他单位进场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3）已经根据本工程需要订货的材料、设备由订货方负责退货或解除订货合同，不能退还的货款和因退货、解除订货合同发生的费用及由此造成对方的损失由责任方承担，因未及时退货造成的损失由责任方承担。</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4）双方仍应遵循诚实信用原则，按本合同的约定履行通知、协助、保密等义务，并且双方在本合同中约定的工程质量、结算、清理、违约与索赔条款等全部相关内容仍然有效。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解除本合同后的结算方式：根据分包人实际完成合格工程量及本合同相关条款双方协商确定。结算将承发包双方确认后，结算款项应分期支付，第一期用于支付分包人应付的工人工资，第二期在分包人已全部顺利退场、所有相关资料已全部移交发包人且半年内无因合同解除、退场、移交而发生干扰、滋事情形影响后续项目正常施工或营业时支付，每期付款需扣除应扣款项，且分包人应提供有效增值税发票（参见本合同专用条款第17条相关约定）。</w:t>
      </w:r>
    </w:p>
    <w:p>
      <w:pPr>
        <w:wordWrap w:val="0"/>
        <w:spacing w:line="360" w:lineRule="auto"/>
        <w:rPr>
          <w:rFonts w:eastAsia="仿宋_GB2312"/>
          <w:color w:val="000000" w:themeColor="text1"/>
          <w:kern w:val="0"/>
          <w:szCs w:val="21"/>
          <w:highlight w:val="none"/>
          <w14:textFill>
            <w14:solidFill>
              <w14:schemeClr w14:val="tx1"/>
            </w14:solidFill>
          </w14:textFill>
        </w:rPr>
      </w:pPr>
      <w:r>
        <w:rPr>
          <w:rFonts w:eastAsia="黑体"/>
          <w:bCs/>
          <w:color w:val="000000" w:themeColor="text1"/>
          <w:sz w:val="24"/>
          <w:szCs w:val="32"/>
          <w:highlight w:val="none"/>
          <w14:textFill>
            <w14:solidFill>
              <w14:schemeClr w14:val="tx1"/>
            </w14:solidFill>
          </w14:textFill>
        </w:rPr>
        <w:t>24.2</w:t>
      </w:r>
      <w:r>
        <w:rPr>
          <w:rFonts w:eastAsia="仿宋_GB2312"/>
          <w:color w:val="000000" w:themeColor="text1"/>
          <w:kern w:val="0"/>
          <w:szCs w:val="21"/>
          <w:highlight w:val="none"/>
          <w14:textFill>
            <w14:solidFill>
              <w14:schemeClr w14:val="tx1"/>
            </w14:solidFill>
          </w14:textFill>
        </w:rPr>
        <w:t xml:space="preserve"> </w:t>
      </w:r>
      <w:r>
        <w:rPr>
          <w:rFonts w:hint="eastAsia" w:eastAsia="黑体"/>
          <w:bCs/>
          <w:color w:val="000000" w:themeColor="text1"/>
          <w:sz w:val="24"/>
          <w:szCs w:val="32"/>
          <w:highlight w:val="none"/>
          <w14:textFill>
            <w14:solidFill>
              <w14:schemeClr w14:val="tx1"/>
            </w14:solidFill>
          </w14:textFill>
        </w:rPr>
        <w:t>由于分包人原因解除本合同</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（1）基于下列原因，经发包人书面确认，承包人有权书面通知分包人解除本合同或解除本合同的部分工作：</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1）分包人破产、重整、解散或清算的，但为机构重组或联合的目的除外。</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2）分包人明确表示或以自己的行为表明不履行本合同约定主要义务的。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3）分包人在订立或履行本合同期间有欺诈行为的。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4）分包人发生严重违约行为的。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5）分包人通过挂靠方式承包本工程或将本工程非法转包、违法分包的。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w:t>
      </w:r>
      <w:r>
        <w:rPr>
          <w:rFonts w:hint="eastAsia"/>
          <w:color w:val="000000" w:themeColor="text1"/>
          <w:highlight w:val="none"/>
          <w:lang w:bidi="ar"/>
          <w14:textFill>
            <w14:solidFill>
              <w14:schemeClr w14:val="tx1"/>
            </w14:solidFill>
          </w14:textFill>
        </w:rPr>
        <w:t>合同约定的期限内没有完工，且在发包人催告的合理期限内仍未完工的</w:t>
      </w:r>
      <w:r>
        <w:rPr>
          <w:rFonts w:hint="eastAsia"/>
          <w:color w:val="000000" w:themeColor="text1"/>
          <w:highlight w:val="none"/>
          <w14:textFill>
            <w14:solidFill>
              <w14:schemeClr w14:val="tx1"/>
            </w14:solidFill>
          </w14:textFill>
        </w:rPr>
        <w:t>。</w:t>
      </w:r>
    </w:p>
    <w:p>
      <w:pPr>
        <w:pStyle w:val="52"/>
        <w:ind w:firstLine="420"/>
        <w:rPr>
          <w:color w:val="000000" w:themeColor="text1"/>
          <w:highlight w:val="none"/>
          <w:lang w:bidi="ar"/>
          <w14:textFill>
            <w14:solidFill>
              <w14:schemeClr w14:val="tx1"/>
            </w14:solidFill>
          </w14:textFill>
        </w:rPr>
      </w:pPr>
      <w:r>
        <w:rPr>
          <w:rFonts w:hint="eastAsia"/>
          <w:color w:val="000000" w:themeColor="text1"/>
          <w:highlight w:val="none"/>
          <w14:textFill>
            <w14:solidFill>
              <w14:schemeClr w14:val="tx1"/>
            </w14:solidFill>
          </w14:textFill>
        </w:rPr>
        <w:t>7）</w:t>
      </w:r>
      <w:r>
        <w:rPr>
          <w:rFonts w:hint="eastAsia"/>
          <w:color w:val="000000" w:themeColor="text1"/>
          <w:highlight w:val="none"/>
          <w:lang w:bidi="ar"/>
          <w14:textFill>
            <w14:solidFill>
              <w14:schemeClr w14:val="tx1"/>
            </w14:solidFill>
          </w14:textFill>
        </w:rPr>
        <w:t>已经完成的建设工程质量不合格，并拒绝修复的。</w:t>
      </w:r>
    </w:p>
    <w:p>
      <w:pPr>
        <w:pStyle w:val="52"/>
        <w:ind w:firstLine="420"/>
        <w:rPr>
          <w:color w:val="000000" w:themeColor="text1"/>
          <w:highlight w:val="none"/>
          <w:lang w:bidi="ar"/>
          <w14:textFill>
            <w14:solidFill>
              <w14:schemeClr w14:val="tx1"/>
            </w14:solidFill>
          </w14:textFill>
        </w:rPr>
      </w:pPr>
      <w:r>
        <w:rPr>
          <w:rFonts w:hint="eastAsia"/>
          <w:color w:val="000000" w:themeColor="text1"/>
          <w:highlight w:val="none"/>
          <w14:textFill>
            <w14:solidFill>
              <w14:schemeClr w14:val="tx1"/>
            </w14:solidFill>
          </w14:textFill>
        </w:rPr>
        <w:t>8）分包人进入破产、重整、解散或清算程序。</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9）因分包人自身债务问题造成承包人或发包人被法院要求协助诉讼保全、协助执行（法院的法律文书形式包括但不限于协助执行通知、履行到期债务通知等协助执行函件），分包人在发包人通知后14日内不能妥善解决的。</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10）本合同或法律法规规定的因分包人违约承包人有权解除本合同的情形。</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lang w:bidi="ar"/>
          <w14:textFill>
            <w14:solidFill>
              <w14:schemeClr w14:val="tx1"/>
            </w14:solidFill>
          </w14:textFill>
        </w:rPr>
        <w:t>因分包人出现以上严重违约情形，经发包人书面确认，承包人确定要立即解除合同的，承包人应立即向分包人发出正式解除通知，通知送达有效。</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（2）合同解除的处理：</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1）分包人按相关条款的约定承担违约责任。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2）分包人必须在收到解除本合同书面通知后【</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5】天内完成退场，不得提出异议。经发包人书面确认，承包人有权决定是否接收属于专业分包人在现场的一切设施、设备、材料使用于本工程，并有进一步要求向分包人索赔的权利。本合同解除后，分包人拒绝撤场的，承包人可以雇请第三方代为撤场，发生的费用全部由分包人承担；分包人拒绝撤场导致损失扩大的，即便承包人是解除合同的过错方，承包人亦无需承担此部分扩大的损失。</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3）承包人即可以进驻现场和接管本工程或另行雇用专业分包替代方（其他分包人），通知解除分包人在本合同项下的承包，但不因此免除本合同约定的分包人的任何义务和责任，也不影响本合同赋予承包人的各种权利和权限，承包人可自行完成该工程，或雇用其他专业承包替代方完成该工程。承包人或上述其他专业分包人了完成本工程，可以使用他们认为合适数量的分包人装备、临时工程和材料。</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4）承包人解除本合同之后，承包人、发包人、监理人应通过协商和调查之后，尽快地确定并认证：</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A）承包人解除本合同时，分包人根据本合同已实际完成的合格工程量、承包人已付与应付的款额（如有应付）、分包人已收与应收合同价款总额（为其截至合同解除日已实际完成的合格工程量所对应应计的价款，扣除依合同分包人违约责任金额、应承担费用等后的余额）等。但分包人不得以该等款额待收取或待确定而不予退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（B）未使用或部分使用过的材料、分包人装备、临时工程的价值及其它分包人因本工程承包发生的费用，承包人概不负责。</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C）在承包人解除本合同后，承包人、发包人有权要求分包人在收到承包人书面通知的【7】天内提供为本合同工程已经签订的提供任何货物或材料、劳务、服务、合同（协议），将在该等合同（协议）和（或）本合同中任何工程的施工协议的利益无偿转让给承包人。</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D）承包人将暂停向分包人支付任何款额；在本工程质量缺陷责任期满之后，再由承包人、发包人核清分包人实施和完成本工程质量保修期内应结算的费用，承包人有权从其中扣除分包人应支付的违约金、赔偿金以及已实际支付给分包人的各项费用。</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5）承包人、发包人的核查、确认后，承包人和发包人就分包人已完成的合格工程量进行结算，并扣除上述应扣款额之后的余额，分包人不得要求任何补偿。如果应扣款额超过分包人应得的款额，此超出部分款额应被视为分包人所欠债务，承包人或发包人有权向分包人追偿。</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6）分包人应在收到解除本合同的通知后，立即妥善做好已完工程和已购材料、设备的保护和移交工作，</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5天内无条件将施工人员全部撤离施工现场并将已完工程向承包人移交完毕(包括但不限于工作面移交，施工机械设备清场，施工剩余材料及建筑垃圾清运，施工人员的退场，临时设施的拆除清场，施工临时用水用电移交等)。现场工程材料、设备及施工机具装备、临时设施等由承包人决定是由分包人转交其他分包人继续使用(分包人同意承包人全权处置上述工程材料、设备及施工机具设备、临时设施的数量和价格并做好配合工作)还是由分包人撤离现场。若承包人决定由分包人将分包人上述工程材料、设备及施工机具设备、临时设施等撤离现场的，分包人应当严格按时处理。否则，分包人留在现场的设备设施及任何其他物品视为放弃（丢弃），承包人可将其清理、处置，有关费用由分包人承担并且承包人可在本合同解除、终止之后安排其他单位进场施工。</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7）分包人必须在收到解除本合同书面通知后【7】天内向承包人、发包人移交所有工程资料和发包人、业主交予分包人使用的图纸资料、材料/设备/设施/配件、工具或其他物品，否则承包人或发包人有权不支付任何款项，因分包人延长移交上述工程资料及设备设施造成承包人或发包人损失的，应承担全部赔偿责任。</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8）合同解除后，承包人委托第三方进场施工的，分包人必须配合承包人（及第三方）办理相关报建的变更手续，如分包人在承包人要求的时限内未积极配合办理的，承包人或发包人有权不予支付任何款项，且每延迟一天，分包人应向承包人承担5</w:t>
      </w:r>
      <w:r>
        <w:rPr>
          <w:color w:val="000000" w:themeColor="text1"/>
          <w:highlight w:val="none"/>
          <w14:textFill>
            <w14:solidFill>
              <w14:schemeClr w14:val="tx1"/>
            </w14:solidFill>
          </w14:textFill>
        </w:rPr>
        <w:t>万</w:t>
      </w:r>
      <w:r>
        <w:rPr>
          <w:rFonts w:hint="eastAsia"/>
          <w:color w:val="000000" w:themeColor="text1"/>
          <w:highlight w:val="none"/>
          <w14:textFill>
            <w14:solidFill>
              <w14:schemeClr w14:val="tx1"/>
            </w14:solidFill>
          </w14:textFill>
        </w:rPr>
        <w:t>元的违约金，如违约金不足以弥补承包人或发包人损失的，承包人或发包人还有权向分包人追偿。</w:t>
      </w:r>
    </w:p>
    <w:p>
      <w:pPr>
        <w:pStyle w:val="52"/>
        <w:ind w:firstLine="480"/>
        <w:rPr>
          <w:color w:val="000000" w:themeColor="text1"/>
          <w:highlight w:val="none"/>
          <w14:textFill>
            <w14:solidFill>
              <w14:schemeClr w14:val="tx1"/>
            </w14:solidFill>
          </w14:textFill>
        </w:rPr>
      </w:pPr>
      <w:r>
        <w:rPr>
          <w:rFonts w:eastAsia="黑体"/>
          <w:bCs/>
          <w:color w:val="000000" w:themeColor="text1"/>
          <w:kern w:val="2"/>
          <w:sz w:val="24"/>
          <w:highlight w:val="none"/>
          <w14:textFill>
            <w14:solidFill>
              <w14:schemeClr w14:val="tx1"/>
            </w14:solidFill>
          </w14:textFill>
        </w:rPr>
        <w:t xml:space="preserve">24.3 </w:t>
      </w:r>
      <w:r>
        <w:rPr>
          <w:rFonts w:hint="eastAsia" w:eastAsia="黑体"/>
          <w:bCs/>
          <w:color w:val="000000" w:themeColor="text1"/>
          <w:kern w:val="2"/>
          <w:sz w:val="24"/>
          <w:highlight w:val="none"/>
          <w14:textFill>
            <w14:solidFill>
              <w14:schemeClr w14:val="tx1"/>
            </w14:solidFill>
          </w14:textFill>
        </w:rPr>
        <w:t>合同解除的其它条件：</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1）承包人在与分包人签订本合同前，承包人或发包人发现分包人的投标文件中存在不符合招标文件资格审查要求的，投标文件中有弄虚作假的，或则投标文件中带有附加性条件等未完全响应招标文件实质性内容的情形的，发包人有权取消分包人的中标资格，不予退还投标担保金；在签订本合同后，承包人或发包人发现分包人存在前述情形的，经发包人书面确认，承包人有权单方解除本合同、不予退还履约担保，并要求分包人赔偿因此给承包人或发包人造成的损失（包括但不限于重新招标选择施工单位的费用损失及工期延误的损失等）。</w:t>
      </w:r>
    </w:p>
    <w:p>
      <w:pPr>
        <w:pStyle w:val="52"/>
        <w:ind w:firstLine="420"/>
        <w:rPr>
          <w:rFonts w:eastAsia="黑体"/>
          <w:bCs/>
          <w:color w:val="000000" w:themeColor="text1"/>
          <w:sz w:val="30"/>
          <w:highlight w:val="none"/>
          <w14:textFill>
            <w14:solidFill>
              <w14:schemeClr w14:val="tx1"/>
            </w14:solidFill>
          </w14:textFill>
        </w:rPr>
      </w:pPr>
      <w:r>
        <w:rPr>
          <w:rFonts w:hint="eastAsia"/>
          <w:color w:val="000000" w:themeColor="text1"/>
          <w:highlight w:val="none"/>
          <w14:textFill>
            <w14:solidFill>
              <w14:schemeClr w14:val="tx1"/>
            </w14:solidFill>
          </w14:textFill>
        </w:rPr>
        <w:t>（2）本合同签订后发现分包人被列入失信被执行人名单且无法在14日内解决并提供有效执行证明的，经发包人书面确认，承包人有权单方解除合同。分包人因上述原因解除合同的，无权要求任何补偿或者赔偿，且分包人应当赔偿由此给承包人或发包人造成的损失。</w:t>
      </w:r>
      <w:r>
        <w:rPr>
          <w:color w:val="000000" w:themeColor="text1"/>
          <w:highlight w:val="none"/>
          <w14:textFill>
            <w14:solidFill>
              <w14:schemeClr w14:val="tx1"/>
            </w14:solidFill>
          </w14:textFill>
        </w:rPr>
        <w:br w:type="page"/>
      </w:r>
    </w:p>
    <w:bookmarkEnd w:id="552"/>
    <w:bookmarkEnd w:id="876"/>
    <w:bookmarkEnd w:id="877"/>
    <w:bookmarkEnd w:id="878"/>
    <w:p>
      <w:pPr>
        <w:widowControl/>
        <w:jc w:val="left"/>
        <w:rPr>
          <w:b/>
          <w:color w:val="000000" w:themeColor="text1"/>
          <w:sz w:val="24"/>
          <w:szCs w:val="24"/>
          <w:highlight w:val="none"/>
          <w14:textFill>
            <w14:solidFill>
              <w14:schemeClr w14:val="tx1"/>
            </w14:solidFill>
          </w14:textFill>
        </w:rPr>
      </w:pPr>
      <w:bookmarkStart w:id="883" w:name="_Toc402450479"/>
      <w:r>
        <w:rPr>
          <w:rFonts w:hint="eastAsia"/>
          <w:b/>
          <w:color w:val="000000" w:themeColor="text1"/>
          <w:sz w:val="24"/>
          <w:szCs w:val="24"/>
          <w:highlight w:val="none"/>
          <w14:textFill>
            <w14:solidFill>
              <w14:schemeClr w14:val="tx1"/>
            </w14:solidFill>
          </w14:textFill>
        </w:rPr>
        <w:t>合同附件</w:t>
      </w:r>
      <w:bookmarkEnd w:id="883"/>
    </w:p>
    <w:p>
      <w:pPr>
        <w:widowControl/>
        <w:jc w:val="left"/>
        <w:rPr>
          <w:b/>
          <w:color w:val="000000" w:themeColor="text1"/>
          <w:sz w:val="24"/>
          <w:szCs w:val="24"/>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bookmarkStart w:id="884" w:name="_Toc40186514"/>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1</w:t>
      </w:r>
      <w:r>
        <w:rPr>
          <w:rFonts w:hint="eastAsia"/>
          <w:color w:val="000000" w:themeColor="text1"/>
          <w:highlight w:val="none"/>
          <w14:textFill>
            <w14:solidFill>
              <w14:schemeClr w14:val="tx1"/>
            </w14:solidFill>
          </w14:textFill>
        </w:rPr>
        <w:t xml:space="preserve"> 合同范围及边界</w:t>
      </w:r>
      <w:bookmarkEnd w:id="884"/>
    </w:p>
    <w:p>
      <w:pPr>
        <w:pStyle w:val="52"/>
        <w:ind w:firstLine="0" w:firstLineChars="0"/>
        <w:rPr>
          <w:color w:val="000000" w:themeColor="text1"/>
          <w:highlight w:val="none"/>
          <w14:textFill>
            <w14:solidFill>
              <w14:schemeClr w14:val="tx1"/>
            </w14:solidFill>
          </w14:textFill>
        </w:rPr>
      </w:pPr>
      <w:bookmarkStart w:id="885" w:name="_Toc40186515"/>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2</w:t>
      </w:r>
      <w:r>
        <w:rPr>
          <w:rFonts w:hint="eastAsia"/>
          <w:color w:val="000000" w:themeColor="text1"/>
          <w:highlight w:val="none"/>
          <w14:textFill>
            <w14:solidFill>
              <w14:schemeClr w14:val="tx1"/>
            </w14:solidFill>
          </w14:textFill>
        </w:rPr>
        <w:t>云港城项目高低压变配电系统技术规格书</w:t>
      </w:r>
      <w:bookmarkEnd w:id="885"/>
    </w:p>
    <w:p>
      <w:pPr>
        <w:pStyle w:val="52"/>
        <w:ind w:firstLine="0" w:firstLineChars="0"/>
        <w:rPr>
          <w:color w:val="000000" w:themeColor="text1"/>
          <w:highlight w:val="none"/>
          <w14:textFill>
            <w14:solidFill>
              <w14:schemeClr w14:val="tx1"/>
            </w14:solidFill>
          </w14:textFill>
        </w:rPr>
      </w:pPr>
      <w:bookmarkStart w:id="886" w:name="_Toc40186516"/>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3</w:t>
      </w:r>
      <w:r>
        <w:rPr>
          <w:rFonts w:hint="eastAsia"/>
          <w:color w:val="000000" w:themeColor="text1"/>
          <w:highlight w:val="none"/>
          <w14:textFill>
            <w14:solidFill>
              <w14:schemeClr w14:val="tx1"/>
            </w14:solidFill>
          </w14:textFill>
        </w:rPr>
        <w:t xml:space="preserve"> 履约保函（样式）     </w:t>
      </w:r>
      <w:bookmarkEnd w:id="886"/>
    </w:p>
    <w:p>
      <w:pPr>
        <w:pStyle w:val="52"/>
        <w:ind w:firstLine="0" w:firstLineChars="0"/>
        <w:rPr>
          <w:color w:val="000000" w:themeColor="text1"/>
          <w:highlight w:val="none"/>
          <w14:textFill>
            <w14:solidFill>
              <w14:schemeClr w14:val="tx1"/>
            </w14:solidFill>
          </w14:textFill>
        </w:rPr>
      </w:pPr>
      <w:bookmarkStart w:id="887" w:name="_Toc40186517"/>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4</w:t>
      </w:r>
      <w:r>
        <w:rPr>
          <w:rFonts w:hint="eastAsia"/>
          <w:color w:val="000000" w:themeColor="text1"/>
          <w:highlight w:val="none"/>
          <w14:textFill>
            <w14:solidFill>
              <w14:schemeClr w14:val="tx1"/>
            </w14:solidFill>
          </w14:textFill>
        </w:rPr>
        <w:t xml:space="preserve"> 云港城项目9#、11#地块永久用电工程材料设备品牌推荐表（另册）   </w:t>
      </w:r>
      <w:bookmarkEnd w:id="887"/>
    </w:p>
    <w:p>
      <w:pPr>
        <w:pStyle w:val="52"/>
        <w:ind w:firstLine="0" w:firstLineChars="0"/>
        <w:rPr>
          <w:color w:val="000000" w:themeColor="text1"/>
          <w:highlight w:val="none"/>
          <w14:textFill>
            <w14:solidFill>
              <w14:schemeClr w14:val="tx1"/>
            </w14:solidFill>
          </w14:textFill>
        </w:rPr>
      </w:pPr>
      <w:bookmarkStart w:id="888" w:name="_Toc40186519"/>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5</w:t>
      </w:r>
      <w:r>
        <w:rPr>
          <w:rFonts w:hint="eastAsia"/>
          <w:color w:val="000000" w:themeColor="text1"/>
          <w:highlight w:val="none"/>
          <w14:textFill>
            <w14:solidFill>
              <w14:schemeClr w14:val="tx1"/>
            </w14:solidFill>
          </w14:textFill>
        </w:rPr>
        <w:t xml:space="preserve"> 工程质量保修书    </w:t>
      </w:r>
      <w:bookmarkEnd w:id="888"/>
    </w:p>
    <w:p>
      <w:pPr>
        <w:pStyle w:val="52"/>
        <w:ind w:firstLine="0" w:firstLineChars="0"/>
        <w:rPr>
          <w:color w:val="000000" w:themeColor="text1"/>
          <w:highlight w:val="none"/>
          <w14:textFill>
            <w14:solidFill>
              <w14:schemeClr w14:val="tx1"/>
            </w14:solidFill>
          </w14:textFill>
        </w:rPr>
      </w:pPr>
      <w:bookmarkStart w:id="889" w:name="_Toc40186520"/>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6</w:t>
      </w:r>
      <w:r>
        <w:rPr>
          <w:rFonts w:hint="eastAsia"/>
          <w:color w:val="000000" w:themeColor="text1"/>
          <w:highlight w:val="none"/>
          <w14:textFill>
            <w14:solidFill>
              <w14:schemeClr w14:val="tx1"/>
            </w14:solidFill>
          </w14:textFill>
        </w:rPr>
        <w:t xml:space="preserve"> 总承包管理与配合服务管理办法    </w:t>
      </w:r>
      <w:bookmarkEnd w:id="889"/>
    </w:p>
    <w:p>
      <w:pPr>
        <w:pStyle w:val="52"/>
        <w:ind w:firstLine="0" w:firstLineChars="0"/>
        <w:rPr>
          <w:color w:val="000000" w:themeColor="text1"/>
          <w:highlight w:val="none"/>
          <w14:textFill>
            <w14:solidFill>
              <w14:schemeClr w14:val="tx1"/>
            </w14:solidFill>
          </w14:textFill>
        </w:rPr>
      </w:pPr>
      <w:bookmarkStart w:id="890" w:name="_Toc40186521"/>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7</w:t>
      </w:r>
      <w:r>
        <w:rPr>
          <w:rFonts w:hint="eastAsia"/>
          <w:color w:val="000000" w:themeColor="text1"/>
          <w:highlight w:val="none"/>
          <w14:textFill>
            <w14:solidFill>
              <w14:schemeClr w14:val="tx1"/>
            </w14:solidFill>
          </w14:textFill>
        </w:rPr>
        <w:t xml:space="preserve"> 工程建设项目廉政责任书  </w:t>
      </w:r>
      <w:bookmarkEnd w:id="890"/>
    </w:p>
    <w:p>
      <w:pPr>
        <w:pStyle w:val="52"/>
        <w:ind w:firstLine="0" w:firstLineChars="0"/>
        <w:rPr>
          <w:color w:val="000000" w:themeColor="text1"/>
          <w:highlight w:val="none"/>
          <w14:textFill>
            <w14:solidFill>
              <w14:schemeClr w14:val="tx1"/>
            </w14:solidFill>
          </w14:textFill>
        </w:rPr>
      </w:pPr>
      <w:bookmarkStart w:id="891" w:name="_Toc40186522"/>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8</w:t>
      </w:r>
      <w:r>
        <w:rPr>
          <w:rFonts w:hint="eastAsia"/>
          <w:color w:val="000000" w:themeColor="text1"/>
          <w:highlight w:val="none"/>
          <w14:textFill>
            <w14:solidFill>
              <w14:schemeClr w14:val="tx1"/>
            </w14:solidFill>
          </w14:textFill>
        </w:rPr>
        <w:t xml:space="preserve"> 已标价工程量清单     </w:t>
      </w:r>
      <w:bookmarkEnd w:id="891"/>
    </w:p>
    <w:p>
      <w:pPr>
        <w:pStyle w:val="52"/>
        <w:ind w:firstLine="0" w:firstLineChars="0"/>
        <w:rPr>
          <w:color w:val="000000" w:themeColor="text1"/>
          <w:highlight w:val="none"/>
          <w14:textFill>
            <w14:solidFill>
              <w14:schemeClr w14:val="tx1"/>
            </w14:solidFill>
          </w14:textFill>
        </w:rPr>
      </w:pPr>
      <w:bookmarkStart w:id="892" w:name="_Toc40186524"/>
      <w:r>
        <w:rPr>
          <w:rFonts w:hint="eastAsia"/>
          <w:color w:val="000000" w:themeColor="text1"/>
          <w:highlight w:val="none"/>
          <w14:textFill>
            <w14:solidFill>
              <w14:schemeClr w14:val="tx1"/>
            </w14:solidFill>
          </w14:textFill>
        </w:rPr>
        <w:t>附件</w:t>
      </w:r>
      <w:r>
        <w:rPr>
          <w:color w:val="000000" w:themeColor="text1"/>
          <w:highlight w:val="none"/>
          <w14:textFill>
            <w14:solidFill>
              <w14:schemeClr w14:val="tx1"/>
            </w14:solidFill>
          </w14:textFill>
        </w:rPr>
        <w:t>9</w:t>
      </w:r>
      <w:r>
        <w:rPr>
          <w:rFonts w:hint="eastAsia"/>
          <w:color w:val="000000" w:themeColor="text1"/>
          <w:highlight w:val="none"/>
          <w14:textFill>
            <w14:solidFill>
              <w14:schemeClr w14:val="tx1"/>
            </w14:solidFill>
          </w14:textFill>
        </w:rPr>
        <w:t xml:space="preserve"> 项目工程施工现场管理办法    </w:t>
      </w:r>
      <w:bookmarkEnd w:id="892"/>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附件10 智慧工地建设要求  </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附件11 绿色施工安全防护措施标准化图册</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附件12 粤海置地施工环境VI展示图</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附件13 图纸</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附件14 工程建设资金拨付管理办法及实施细则</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附件15 安全管理协议书</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附件16 安全管理专篇</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附件17 项目主要管理人员表</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附件18 主要施工机械设备表</w:t>
      </w:r>
    </w:p>
    <w:p>
      <w:pPr>
        <w:pStyle w:val="52"/>
        <w:ind w:firstLine="0" w:firstLineChars="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附件19 安全生产不良行为扣分条款</w:t>
      </w:r>
    </w:p>
    <w:p>
      <w:pPr>
        <w:pStyle w:val="2"/>
        <w:spacing w:before="0" w:after="0" w:line="240" w:lineRule="auto"/>
        <w:rPr>
          <w:color w:val="000000" w:themeColor="text1"/>
          <w:highlight w:val="none"/>
          <w14:textFill>
            <w14:solidFill>
              <w14:schemeClr w14:val="tx1"/>
            </w14:solidFill>
          </w14:textFill>
        </w:rPr>
        <w:sectPr>
          <w:headerReference r:id="rId7" w:type="first"/>
          <w:footerReference r:id="rId9" w:type="first"/>
          <w:headerReference r:id="rId6" w:type="default"/>
          <w:footerReference r:id="rId8" w:type="default"/>
          <w:pgSz w:w="11906" w:h="16838"/>
          <w:pgMar w:top="567" w:right="1134" w:bottom="567" w:left="1134" w:header="680" w:footer="992" w:gutter="0"/>
          <w:cols w:space="720" w:num="1"/>
          <w:titlePg/>
          <w:docGrid w:linePitch="312" w:charSpace="0"/>
        </w:sectPr>
      </w:pPr>
    </w:p>
    <w:p>
      <w:pPr>
        <w:pStyle w:val="2"/>
        <w:spacing w:before="0" w:after="0" w:line="240" w:lineRule="auto"/>
        <w:rPr>
          <w:rFonts w:ascii="仿宋" w:hAnsi="仿宋" w:eastAsia="仿宋"/>
          <w:color w:val="000000" w:themeColor="text1"/>
          <w:sz w:val="28"/>
          <w:szCs w:val="28"/>
          <w:highlight w:val="none"/>
          <w14:textFill>
            <w14:solidFill>
              <w14:schemeClr w14:val="tx1"/>
            </w14:solidFill>
          </w14:textFill>
        </w:rPr>
      </w:pPr>
      <w:bookmarkStart w:id="893" w:name="_Toc23953"/>
      <w:bookmarkStart w:id="894" w:name="_Toc118446908"/>
      <w:bookmarkStart w:id="895" w:name="_Toc44227951"/>
      <w:bookmarkStart w:id="896" w:name="_Toc44492628"/>
      <w:bookmarkStart w:id="897" w:name="_Toc10027"/>
      <w:bookmarkStart w:id="898" w:name="_Toc27297"/>
      <w:r>
        <w:rPr>
          <w:rFonts w:hint="eastAsia" w:ascii="仿宋" w:hAnsi="仿宋" w:eastAsia="仿宋"/>
          <w:color w:val="000000" w:themeColor="text1"/>
          <w:sz w:val="28"/>
          <w:szCs w:val="28"/>
          <w:highlight w:val="none"/>
          <w14:textFill>
            <w14:solidFill>
              <w14:schemeClr w14:val="tx1"/>
            </w14:solidFill>
          </w14:textFill>
        </w:rPr>
        <w:t>附件1 合同范围及边界</w:t>
      </w:r>
      <w:bookmarkEnd w:id="893"/>
      <w:bookmarkEnd w:id="894"/>
    </w:p>
    <w:tbl>
      <w:tblPr>
        <w:tblStyle w:val="37"/>
        <w:tblW w:w="15466" w:type="dxa"/>
        <w:tblInd w:w="93" w:type="dxa"/>
        <w:tblLayout w:type="autofit"/>
        <w:tblCellMar>
          <w:top w:w="0" w:type="dxa"/>
          <w:left w:w="108" w:type="dxa"/>
          <w:bottom w:w="0" w:type="dxa"/>
          <w:right w:w="108" w:type="dxa"/>
        </w:tblCellMar>
      </w:tblPr>
      <w:tblGrid>
        <w:gridCol w:w="1580"/>
        <w:gridCol w:w="6799"/>
        <w:gridCol w:w="2976"/>
        <w:gridCol w:w="2977"/>
        <w:gridCol w:w="1134"/>
      </w:tblGrid>
      <w:tr>
        <w:tblPrEx>
          <w:tblCellMar>
            <w:top w:w="0" w:type="dxa"/>
            <w:left w:w="108" w:type="dxa"/>
            <w:bottom w:w="0" w:type="dxa"/>
            <w:right w:w="108" w:type="dxa"/>
          </w:tblCellMar>
        </w:tblPrEx>
        <w:trPr>
          <w:trHeight w:val="540" w:hRule="atLeast"/>
          <w:tblHeader/>
        </w:trPr>
        <w:tc>
          <w:tcPr>
            <w:tcW w:w="15466" w:type="dxa"/>
            <w:gridSpan w:val="5"/>
            <w:tcBorders>
              <w:bottom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仿宋" w:hAnsi="仿宋" w:eastAsia="仿宋" w:cs="宋体"/>
                <w:b/>
                <w:bCs/>
                <w:color w:val="000000" w:themeColor="text1"/>
                <w:kern w:val="0"/>
                <w:sz w:val="32"/>
                <w:szCs w:val="32"/>
                <w:highlight w:val="none"/>
                <w14:textFill>
                  <w14:solidFill>
                    <w14:schemeClr w14:val="tx1"/>
                  </w14:solidFill>
                </w14:textFill>
              </w:rPr>
              <w:t>云港城项目9#地块永久用电工程</w:t>
            </w:r>
          </w:p>
        </w:tc>
      </w:tr>
      <w:tr>
        <w:tblPrEx>
          <w:tblCellMar>
            <w:top w:w="0" w:type="dxa"/>
            <w:left w:w="108" w:type="dxa"/>
            <w:bottom w:w="0" w:type="dxa"/>
            <w:right w:w="108" w:type="dxa"/>
          </w:tblCellMar>
        </w:tblPrEx>
        <w:trPr>
          <w:trHeight w:val="540" w:hRule="atLeast"/>
          <w:tblHeader/>
        </w:trPr>
        <w:tc>
          <w:tcPr>
            <w:tcW w:w="1580" w:type="dxa"/>
            <w:tcBorders>
              <w:top w:val="single" w:color="auto" w:sz="8" w:space="0"/>
              <w:left w:val="single" w:color="auto" w:sz="8" w:space="0"/>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工程范围</w:t>
            </w:r>
          </w:p>
        </w:tc>
        <w:tc>
          <w:tcPr>
            <w:tcW w:w="12752" w:type="dxa"/>
            <w:gridSpan w:val="3"/>
            <w:tcBorders>
              <w:top w:val="single" w:color="auto" w:sz="8" w:space="0"/>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合同界面</w:t>
            </w:r>
          </w:p>
        </w:tc>
        <w:tc>
          <w:tcPr>
            <w:tcW w:w="1134" w:type="dxa"/>
            <w:vMerge w:val="restart"/>
            <w:tcBorders>
              <w:top w:val="single" w:color="auto" w:sz="8" w:space="0"/>
              <w:left w:val="nil"/>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备注</w:t>
            </w:r>
          </w:p>
        </w:tc>
      </w:tr>
      <w:tr>
        <w:tblPrEx>
          <w:tblCellMar>
            <w:top w:w="0" w:type="dxa"/>
            <w:left w:w="108" w:type="dxa"/>
            <w:bottom w:w="0" w:type="dxa"/>
            <w:right w:w="108" w:type="dxa"/>
          </w:tblCellMar>
        </w:tblPrEx>
        <w:trPr>
          <w:trHeight w:val="495" w:hRule="atLeast"/>
          <w:tblHeader/>
        </w:trPr>
        <w:tc>
          <w:tcPr>
            <w:tcW w:w="1580" w:type="dxa"/>
            <w:tcBorders>
              <w:top w:val="single" w:color="auto" w:sz="8" w:space="0"/>
              <w:left w:val="single" w:color="auto" w:sz="8" w:space="0"/>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永久用电工程</w:t>
            </w:r>
          </w:p>
        </w:tc>
        <w:tc>
          <w:tcPr>
            <w:tcW w:w="6799" w:type="dxa"/>
            <w:tcBorders>
              <w:top w:val="nil"/>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永久用电施工合同</w:t>
            </w:r>
          </w:p>
        </w:tc>
        <w:tc>
          <w:tcPr>
            <w:tcW w:w="2976" w:type="dxa"/>
            <w:tcBorders>
              <w:top w:val="nil"/>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土建总承包合同</w:t>
            </w:r>
          </w:p>
        </w:tc>
        <w:tc>
          <w:tcPr>
            <w:tcW w:w="2977" w:type="dxa"/>
            <w:tcBorders>
              <w:top w:val="nil"/>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机电总包施工合同</w:t>
            </w:r>
          </w:p>
        </w:tc>
        <w:tc>
          <w:tcPr>
            <w:tcW w:w="1134" w:type="dxa"/>
            <w:vMerge w:val="continue"/>
            <w:tcBorders>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p>
        </w:tc>
      </w:tr>
      <w:tr>
        <w:tblPrEx>
          <w:tblCellMar>
            <w:top w:w="0" w:type="dxa"/>
            <w:left w:w="108" w:type="dxa"/>
            <w:bottom w:w="0" w:type="dxa"/>
            <w:right w:w="108" w:type="dxa"/>
          </w:tblCellMar>
        </w:tblPrEx>
        <w:trPr>
          <w:trHeight w:val="701" w:hRule="atLeast"/>
        </w:trPr>
        <w:tc>
          <w:tcPr>
            <w:tcW w:w="1580" w:type="dxa"/>
            <w:vMerge w:val="restart"/>
            <w:tcBorders>
              <w:top w:val="single" w:color="auto" w:sz="8" w:space="0"/>
              <w:left w:val="single" w:color="auto" w:sz="8" w:space="0"/>
              <w:bottom w:val="single" w:color="auto" w:sz="8" w:space="0"/>
              <w:right w:val="single" w:color="auto" w:sz="8" w:space="0"/>
            </w:tcBorders>
            <w:shd w:val="clear" w:color="auto" w:fill="auto"/>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供配电工程</w:t>
            </w: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永久用电方案中电缆沟开挖及修复、顶管、原有电缆保护，各变电站至开关房内电缆敷设及试验、开关房内环网柜等设备的供货及安装调试</w:t>
            </w:r>
          </w:p>
        </w:tc>
        <w:tc>
          <w:tcPr>
            <w:tcW w:w="2976" w:type="dxa"/>
            <w:tcBorders>
              <w:top w:val="nil"/>
              <w:left w:val="nil"/>
              <w:bottom w:val="single" w:color="auto" w:sz="8" w:space="0"/>
              <w:right w:val="single" w:color="auto" w:sz="8" w:space="0"/>
            </w:tcBorders>
            <w:shd w:val="clear" w:color="auto" w:fill="auto"/>
            <w:noWrap/>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7" w:type="dxa"/>
            <w:tcBorders>
              <w:top w:val="nil"/>
              <w:left w:val="nil"/>
              <w:bottom w:val="single" w:color="auto" w:sz="8" w:space="0"/>
              <w:right w:val="single" w:color="auto" w:sz="8" w:space="0"/>
            </w:tcBorders>
            <w:shd w:val="clear" w:color="auto" w:fill="auto"/>
            <w:noWrap/>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1134" w:type="dxa"/>
            <w:tcBorders>
              <w:top w:val="nil"/>
              <w:left w:val="nil"/>
              <w:bottom w:val="single" w:color="auto" w:sz="8" w:space="0"/>
              <w:right w:val="single" w:color="auto" w:sz="8" w:space="0"/>
            </w:tcBorders>
            <w:shd w:val="clear" w:color="auto" w:fill="auto"/>
            <w:noWrap/>
            <w:vAlign w:val="center"/>
          </w:tcPr>
          <w:p>
            <w:pPr>
              <w:widowControl/>
              <w:jc w:val="center"/>
              <w:rPr>
                <w:rFonts w:ascii="宋体" w:hAnsi="宋体" w:cs="宋体"/>
                <w:b/>
                <w:bCs/>
                <w:color w:val="000000" w:themeColor="text1"/>
                <w:kern w:val="0"/>
                <w:sz w:val="28"/>
                <w:szCs w:val="2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683"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 xml:space="preserve"> 办理市政道路开挖、园林等申请相关所有手续，包含但不限于道路开挖及修复工作、园林、公交车站等迁移及恢复，并缴纳相关市政赔补费、占道费等一切费用；</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7"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683"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测量放线，电力井砌筑，沟槽的开挖及回填，余土清运、沟槽土方回填至室外标高±0；电房内电井施工，包含盖板（包含红线内开关房进线路由管沟及敷管）</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7"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687"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电房（包括发电机配电室）内墙身刮白，所有电房内地面涂防静电地坪漆、电气设备操作面绝缘地板胶供货及铺设；电房内标识；天棚抹平扫白并涂防虫漆；</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墙身砌筑、抹灰</w:t>
            </w:r>
          </w:p>
        </w:tc>
        <w:tc>
          <w:tcPr>
            <w:tcW w:w="2977" w:type="dxa"/>
            <w:tcBorders>
              <w:top w:val="nil"/>
              <w:left w:val="nil"/>
              <w:bottom w:val="single" w:color="auto" w:sz="8" w:space="0"/>
              <w:right w:val="single" w:color="auto" w:sz="8"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541"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电房内槽钢设备基础制作施工，变配电绝缘地板制作安装；</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7"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89"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电房内电缆坑、柜坑（含预埋角钢）、电房门、设备基础施工；电房区域内通道高压电缆坑、低压电缆坑施工、预制坑板封盖制作安装等</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7" w:type="dxa"/>
            <w:tcBorders>
              <w:top w:val="nil"/>
              <w:left w:val="nil"/>
              <w:bottom w:val="single" w:color="auto" w:sz="8" w:space="0"/>
              <w:right w:val="single" w:color="auto" w:sz="8" w:space="0"/>
            </w:tcBorders>
            <w:shd w:val="clear" w:color="auto" w:fill="auto"/>
            <w:vAlign w:val="center"/>
          </w:tcPr>
          <w:p>
            <w:pPr>
              <w:jc w:val="center"/>
              <w:rPr>
                <w:color w:val="000000" w:themeColor="text1"/>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36"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电房内照明、防潮灯、排气扇、灭火器、304不锈钢护栏、各高压房内配套10KV验电笔、绝缘手套、绝缘鞋、接地线、电房门、百叶窗、防鼠挡板等</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7" w:type="dxa"/>
            <w:tcBorders>
              <w:top w:val="nil"/>
              <w:left w:val="nil"/>
              <w:bottom w:val="single" w:color="auto" w:sz="8" w:space="0"/>
              <w:right w:val="single" w:color="auto" w:sz="8" w:space="0"/>
            </w:tcBorders>
            <w:shd w:val="clear" w:color="auto" w:fill="auto"/>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电房通道紧急出口指示灯及照明灯具的供货安装，应急疏散报警等消防系统安装</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29"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电房墙身绕墙式地网并连通各房内设备外壳，并预留充足的接地端子</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建筑物等电位采购、施工及各项试验、报验</w:t>
            </w:r>
          </w:p>
        </w:tc>
        <w:tc>
          <w:tcPr>
            <w:tcW w:w="2977" w:type="dxa"/>
            <w:tcBorders>
              <w:top w:val="nil"/>
              <w:left w:val="nil"/>
              <w:bottom w:val="single" w:color="auto" w:sz="8" w:space="0"/>
              <w:right w:val="single" w:color="auto" w:sz="8"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87"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高低压配电柜、变电器及桥架、电缆线等供货及敷设安装（范围从市政供电点至低压配电房柜上端）；低压柜出线至插接箱的母线槽（含插接箱）及发电机房耐火母线槽供货安装；发电机房配电柜供货及安装；</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7" w:type="dxa"/>
            <w:tcBorders>
              <w:top w:val="nil"/>
              <w:left w:val="nil"/>
              <w:bottom w:val="single" w:color="auto" w:sz="8" w:space="0"/>
              <w:right w:val="single" w:color="auto" w:sz="8" w:space="0"/>
            </w:tcBorders>
            <w:shd w:val="clear" w:color="auto" w:fill="auto"/>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低压配电柜后所有电气配电箱、线槽桥架、电缆电线采购及施工，发电机供货安装及环保工程</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690"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配电系统套管填料(低压配电柜前）</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电气系统所有洞口预留及管道套管预埋；洞口一次修补</w:t>
            </w:r>
          </w:p>
        </w:tc>
        <w:tc>
          <w:tcPr>
            <w:tcW w:w="2977"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低压配电柜后系统套管内封堵</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570" w:hRule="atLeast"/>
        </w:trPr>
        <w:tc>
          <w:tcPr>
            <w:tcW w:w="1580" w:type="dxa"/>
            <w:vMerge w:val="continue"/>
            <w:tcBorders>
              <w:top w:val="single" w:color="auto" w:sz="8" w:space="0"/>
              <w:left w:val="single" w:color="auto" w:sz="8" w:space="0"/>
              <w:bottom w:val="single" w:color="auto" w:sz="8" w:space="0"/>
              <w:right w:val="single" w:color="auto" w:sz="8" w:space="0"/>
            </w:tcBorders>
            <w:vAlign w:val="center"/>
          </w:tcPr>
          <w:p>
            <w:pPr>
              <w:widowControl/>
              <w:jc w:val="left"/>
              <w:rPr>
                <w:rFonts w:ascii="宋体" w:hAnsi="宋体" w:cs="宋体"/>
                <w:b/>
                <w:bCs/>
                <w:color w:val="000000" w:themeColor="text1"/>
                <w:kern w:val="0"/>
                <w:sz w:val="20"/>
                <w:szCs w:val="20"/>
                <w:highlight w:val="none"/>
                <w14:textFill>
                  <w14:solidFill>
                    <w14:schemeClr w14:val="tx1"/>
                  </w14:solidFill>
                </w14:textFill>
              </w:rPr>
            </w:pPr>
          </w:p>
        </w:tc>
        <w:tc>
          <w:tcPr>
            <w:tcW w:w="6799" w:type="dxa"/>
            <w:tcBorders>
              <w:top w:val="nil"/>
              <w:left w:val="nil"/>
              <w:bottom w:val="single" w:color="auto" w:sz="8" w:space="0"/>
              <w:right w:val="single" w:color="auto" w:sz="8"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合同范围内供配电系统调试及验收</w:t>
            </w:r>
          </w:p>
        </w:tc>
        <w:tc>
          <w:tcPr>
            <w:tcW w:w="2976" w:type="dxa"/>
            <w:tcBorders>
              <w:top w:val="nil"/>
              <w:left w:val="nil"/>
              <w:bottom w:val="single" w:color="auto" w:sz="8" w:space="0"/>
              <w:right w:val="single" w:color="auto" w:sz="8"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7" w:type="dxa"/>
            <w:tcBorders>
              <w:top w:val="nil"/>
              <w:left w:val="nil"/>
              <w:bottom w:val="single" w:color="auto" w:sz="8" w:space="0"/>
              <w:right w:val="single" w:color="auto" w:sz="8"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1134" w:type="dxa"/>
            <w:tcBorders>
              <w:top w:val="nil"/>
              <w:left w:val="nil"/>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18"/>
                <w:szCs w:val="18"/>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80" w:hRule="atLeast"/>
        </w:trPr>
        <w:tc>
          <w:tcPr>
            <w:tcW w:w="1580" w:type="dxa"/>
            <w:tcBorders>
              <w:top w:val="single" w:color="auto" w:sz="8" w:space="0"/>
              <w:left w:val="single" w:color="auto" w:sz="8" w:space="0"/>
              <w:bottom w:val="single" w:color="auto" w:sz="8" w:space="0"/>
              <w:right w:val="single" w:color="auto" w:sz="4" w:space="0"/>
            </w:tcBorders>
            <w:shd w:val="clear" w:color="auto" w:fill="auto"/>
            <w:vAlign w:val="center"/>
          </w:tcPr>
          <w:p>
            <w:pPr>
              <w:widowControl/>
              <w:jc w:val="center"/>
              <w:rPr>
                <w:rFonts w:ascii="宋体" w:hAnsi="宋体" w:cs="宋体"/>
                <w:b/>
                <w:bCs/>
                <w:color w:val="000000" w:themeColor="text1"/>
                <w:kern w:val="0"/>
                <w:sz w:val="20"/>
                <w:szCs w:val="20"/>
                <w:highlight w:val="none"/>
                <w14:textFill>
                  <w14:solidFill>
                    <w14:schemeClr w14:val="tx1"/>
                  </w14:solidFill>
                </w14:textFill>
              </w:rPr>
            </w:pPr>
            <w:r>
              <w:rPr>
                <w:rFonts w:hint="eastAsia" w:ascii="宋体" w:hAnsi="宋体" w:cs="宋体"/>
                <w:b/>
                <w:bCs/>
                <w:color w:val="000000" w:themeColor="text1"/>
                <w:kern w:val="0"/>
                <w:sz w:val="20"/>
                <w:szCs w:val="20"/>
                <w:highlight w:val="none"/>
                <w14:textFill>
                  <w14:solidFill>
                    <w14:schemeClr w14:val="tx1"/>
                  </w14:solidFill>
                </w14:textFill>
              </w:rPr>
              <w:t>远程计量系统</w:t>
            </w:r>
          </w:p>
        </w:tc>
        <w:tc>
          <w:tcPr>
            <w:tcW w:w="6799" w:type="dxa"/>
            <w:tcBorders>
              <w:top w:val="single" w:color="auto" w:sz="4" w:space="0"/>
              <w:left w:val="nil"/>
              <w:bottom w:val="single" w:color="auto" w:sz="8" w:space="0"/>
              <w:right w:val="single" w:color="auto" w:sz="4"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6" w:type="dxa"/>
            <w:tcBorders>
              <w:top w:val="single" w:color="auto" w:sz="4" w:space="0"/>
              <w:left w:val="nil"/>
              <w:bottom w:val="single" w:color="auto" w:sz="8" w:space="0"/>
              <w:right w:val="single" w:color="auto" w:sz="4" w:space="0"/>
            </w:tcBorders>
            <w:shd w:val="clear" w:color="auto" w:fill="auto"/>
            <w:vAlign w:val="center"/>
          </w:tcPr>
          <w:p>
            <w:pPr>
              <w:jc w:val="center"/>
              <w:rPr>
                <w:color w:val="000000" w:themeColor="text1"/>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c>
          <w:tcPr>
            <w:tcW w:w="2977" w:type="dxa"/>
            <w:tcBorders>
              <w:top w:val="single" w:color="auto" w:sz="4" w:space="0"/>
              <w:left w:val="nil"/>
              <w:bottom w:val="single" w:color="auto" w:sz="8" w:space="0"/>
              <w:right w:val="single" w:color="auto" w:sz="4" w:space="0"/>
            </w:tcBorders>
            <w:shd w:val="clear" w:color="auto" w:fill="auto"/>
            <w:vAlign w:val="center"/>
          </w:tcPr>
          <w:p>
            <w:pPr>
              <w:rPr>
                <w:color w:val="000000" w:themeColor="text1"/>
                <w:sz w:val="20"/>
                <w:szCs w:val="20"/>
                <w:highlight w:val="none"/>
                <w14:textFill>
                  <w14:solidFill>
                    <w14:schemeClr w14:val="tx1"/>
                  </w14:solidFill>
                </w14:textFill>
              </w:rPr>
            </w:pPr>
            <w:r>
              <w:rPr>
                <w:rFonts w:hint="eastAsia"/>
                <w:color w:val="000000" w:themeColor="text1"/>
                <w:sz w:val="20"/>
                <w:szCs w:val="20"/>
                <w:highlight w:val="none"/>
                <w14:textFill>
                  <w14:solidFill>
                    <w14:schemeClr w14:val="tx1"/>
                  </w14:solidFill>
                </w14:textFill>
              </w:rPr>
              <w:t>系统的供货、安装及调试（包含远传电表、水表的供货及安装）</w:t>
            </w:r>
          </w:p>
        </w:tc>
        <w:tc>
          <w:tcPr>
            <w:tcW w:w="1134" w:type="dxa"/>
            <w:tcBorders>
              <w:top w:val="nil"/>
              <w:left w:val="single" w:color="auto" w:sz="8" w:space="0"/>
              <w:bottom w:val="single" w:color="auto" w:sz="8" w:space="0"/>
              <w:right w:val="single" w:color="auto" w:sz="8" w:space="0"/>
            </w:tcBorders>
            <w:shd w:val="clear" w:color="auto" w:fill="auto"/>
            <w:vAlign w:val="center"/>
          </w:tcPr>
          <w:p>
            <w:pPr>
              <w:widowControl/>
              <w:jc w:val="center"/>
              <w:rPr>
                <w:rFonts w:ascii="宋体" w:hAnsi="宋体" w:cs="宋体"/>
                <w:color w:val="000000" w:themeColor="text1"/>
                <w:kern w:val="0"/>
                <w:sz w:val="20"/>
                <w:szCs w:val="20"/>
                <w:highlight w:val="none"/>
                <w14:textFill>
                  <w14:solidFill>
                    <w14:schemeClr w14:val="tx1"/>
                  </w14:solidFill>
                </w14:textFill>
              </w:rPr>
            </w:pPr>
            <w:r>
              <w:rPr>
                <w:rFonts w:hint="eastAsia" w:ascii="宋体" w:hAnsi="宋体" w:cs="宋体"/>
                <w:color w:val="000000" w:themeColor="text1"/>
                <w:kern w:val="0"/>
                <w:sz w:val="18"/>
                <w:szCs w:val="18"/>
                <w:highlight w:val="none"/>
                <w14:textFill>
                  <w14:solidFill>
                    <w14:schemeClr w14:val="tx1"/>
                  </w14:solidFill>
                </w14:textFill>
              </w:rPr>
              <w:t>--</w:t>
            </w:r>
          </w:p>
        </w:tc>
      </w:tr>
      <w:tr>
        <w:tblPrEx>
          <w:tblCellMar>
            <w:top w:w="0" w:type="dxa"/>
            <w:left w:w="108" w:type="dxa"/>
            <w:bottom w:w="0" w:type="dxa"/>
            <w:right w:w="108" w:type="dxa"/>
          </w:tblCellMar>
        </w:tblPrEx>
        <w:trPr>
          <w:trHeight w:val="780" w:hRule="atLeast"/>
        </w:trPr>
        <w:tc>
          <w:tcPr>
            <w:tcW w:w="15466" w:type="dxa"/>
            <w:gridSpan w:val="5"/>
            <w:tcBorders>
              <w:top w:val="single" w:color="auto" w:sz="8" w:space="0"/>
              <w:left w:val="single" w:color="auto" w:sz="8" w:space="0"/>
              <w:bottom w:val="single" w:color="auto" w:sz="8" w:space="0"/>
              <w:right w:val="single" w:color="auto" w:sz="8" w:space="0"/>
            </w:tcBorders>
            <w:shd w:val="clear" w:color="auto" w:fill="auto"/>
            <w:vAlign w:val="center"/>
          </w:tcPr>
          <w:p>
            <w:pPr>
              <w:widowControl/>
              <w:rPr>
                <w:rFonts w:ascii="宋体" w:hAnsi="宋体" w:cs="宋体"/>
                <w:color w:val="000000" w:themeColor="text1"/>
                <w:kern w:val="0"/>
                <w:sz w:val="20"/>
                <w:szCs w:val="20"/>
                <w:highlight w:val="none"/>
                <w14:textFill>
                  <w14:solidFill>
                    <w14:schemeClr w14:val="tx1"/>
                  </w14:solidFill>
                </w14:textFill>
              </w:rPr>
            </w:pPr>
            <w:r>
              <w:rPr>
                <w:rFonts w:hint="eastAsia" w:ascii="宋体" w:hAnsi="宋体" w:cs="宋体"/>
                <w:color w:val="000000" w:themeColor="text1"/>
                <w:kern w:val="0"/>
                <w:sz w:val="20"/>
                <w:szCs w:val="20"/>
                <w:highlight w:val="none"/>
                <w14:textFill>
                  <w14:solidFill>
                    <w14:schemeClr w14:val="tx1"/>
                  </w14:solidFill>
                </w14:textFill>
              </w:rPr>
              <w:t>注：永久用电施工单位合同应包含报停送电计划、协调沿线各项目单位、各政府相关部门</w:t>
            </w:r>
          </w:p>
        </w:tc>
      </w:tr>
    </w:tbl>
    <w:p>
      <w:pPr>
        <w:rPr>
          <w:color w:val="000000" w:themeColor="text1"/>
          <w:highlight w:val="none"/>
          <w14:textFill>
            <w14:solidFill>
              <w14:schemeClr w14:val="tx1"/>
            </w14:solidFill>
          </w14:textFill>
        </w:rPr>
      </w:pPr>
    </w:p>
    <w:p>
      <w:pPr>
        <w:rPr>
          <w:rFonts w:ascii="仿宋" w:hAnsi="仿宋"/>
          <w:color w:val="000000" w:themeColor="text1"/>
          <w:sz w:val="28"/>
          <w:highlight w:val="none"/>
          <w14:textFill>
            <w14:solidFill>
              <w14:schemeClr w14:val="tx1"/>
            </w14:solidFill>
          </w14:textFill>
        </w:rPr>
        <w:sectPr>
          <w:pgSz w:w="16838" w:h="11906" w:orient="landscape"/>
          <w:pgMar w:top="1134" w:right="567" w:bottom="1134" w:left="567" w:header="680" w:footer="992" w:gutter="0"/>
          <w:cols w:space="720" w:num="1"/>
          <w:titlePg/>
          <w:docGrid w:linePitch="312" w:charSpace="0"/>
        </w:sectPr>
      </w:pPr>
    </w:p>
    <w:p>
      <w:pPr>
        <w:pStyle w:val="2"/>
        <w:spacing w:before="0" w:after="0" w:line="240" w:lineRule="auto"/>
        <w:rPr>
          <w:rFonts w:ascii="仿宋" w:hAnsi="仿宋" w:eastAsia="仿宋"/>
          <w:color w:val="000000" w:themeColor="text1"/>
          <w:sz w:val="28"/>
          <w:szCs w:val="28"/>
          <w:highlight w:val="none"/>
          <w14:textFill>
            <w14:solidFill>
              <w14:schemeClr w14:val="tx1"/>
            </w14:solidFill>
          </w14:textFill>
        </w:rPr>
      </w:pPr>
      <w:bookmarkStart w:id="899" w:name="_Toc12253"/>
      <w:bookmarkStart w:id="900" w:name="_Toc118446909"/>
      <w:r>
        <w:rPr>
          <w:rFonts w:hint="eastAsia" w:ascii="仿宋" w:hAnsi="仿宋" w:eastAsia="仿宋"/>
          <w:color w:val="000000" w:themeColor="text1"/>
          <w:sz w:val="28"/>
          <w:szCs w:val="28"/>
          <w:highlight w:val="none"/>
          <w14:textFill>
            <w14:solidFill>
              <w14:schemeClr w14:val="tx1"/>
            </w14:solidFill>
          </w14:textFill>
        </w:rPr>
        <w:t>附件2</w:t>
      </w:r>
      <w:bookmarkEnd w:id="895"/>
      <w:bookmarkEnd w:id="896"/>
      <w:bookmarkEnd w:id="899"/>
      <w:r>
        <w:rPr>
          <w:rFonts w:hint="eastAsia" w:ascii="仿宋" w:hAnsi="仿宋" w:eastAsia="仿宋"/>
          <w:color w:val="000000" w:themeColor="text1"/>
          <w:sz w:val="28"/>
          <w:szCs w:val="28"/>
          <w:highlight w:val="none"/>
          <w14:textFill>
            <w14:solidFill>
              <w14:schemeClr w14:val="tx1"/>
            </w14:solidFill>
          </w14:textFill>
        </w:rPr>
        <w:t>云港城项目高低压变配电系统技术规格书（另册）</w:t>
      </w:r>
      <w:bookmarkEnd w:id="897"/>
      <w:bookmarkEnd w:id="898"/>
      <w:bookmarkEnd w:id="900"/>
    </w:p>
    <w:p>
      <w:pPr>
        <w:rPr>
          <w:color w:val="000000" w:themeColor="text1"/>
          <w:highlight w:val="none"/>
          <w14:textFill>
            <w14:solidFill>
              <w14:schemeClr w14:val="tx1"/>
            </w14:solidFill>
          </w14:textFill>
        </w:rPr>
      </w:pPr>
    </w:p>
    <w:p>
      <w:pPr>
        <w:spacing w:line="360" w:lineRule="auto"/>
        <w:ind w:left="851"/>
        <w:rPr>
          <w:rFonts w:ascii="宋体" w:hAnsi="宋体"/>
          <w:color w:val="000000" w:themeColor="text1"/>
          <w:szCs w:val="21"/>
          <w:highlight w:val="none"/>
          <w14:textFill>
            <w14:solidFill>
              <w14:schemeClr w14:val="tx1"/>
            </w14:solidFill>
          </w14:textFill>
        </w:rPr>
      </w:pPr>
    </w:p>
    <w:p>
      <w:pPr>
        <w:spacing w:line="360" w:lineRule="auto"/>
        <w:ind w:left="851"/>
        <w:rPr>
          <w:rFonts w:ascii="宋体" w:hAnsi="宋体"/>
          <w:color w:val="000000" w:themeColor="text1"/>
          <w:szCs w:val="21"/>
          <w:highlight w:val="none"/>
          <w14:textFill>
            <w14:solidFill>
              <w14:schemeClr w14:val="tx1"/>
            </w14:solidFill>
          </w14:textFill>
        </w:rPr>
      </w:pPr>
    </w:p>
    <w:p>
      <w:pPr>
        <w:spacing w:line="360" w:lineRule="auto"/>
        <w:ind w:left="851"/>
        <w:rPr>
          <w:rFonts w:ascii="宋体" w:hAnsi="宋体"/>
          <w:color w:val="000000" w:themeColor="text1"/>
          <w:szCs w:val="21"/>
          <w:highlight w:val="none"/>
          <w14:textFill>
            <w14:solidFill>
              <w14:schemeClr w14:val="tx1"/>
            </w14:solidFill>
          </w14:textFill>
        </w:rPr>
      </w:pPr>
    </w:p>
    <w:p>
      <w:pPr>
        <w:pStyle w:val="2"/>
        <w:spacing w:before="0" w:after="0" w:line="240" w:lineRule="auto"/>
        <w:ind w:left="883" w:hanging="883" w:hangingChars="20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br w:type="page"/>
      </w:r>
      <w:bookmarkStart w:id="901" w:name="_Toc44492629"/>
      <w:bookmarkStart w:id="902" w:name="_Toc118446910"/>
      <w:bookmarkStart w:id="903" w:name="_Toc23448"/>
      <w:bookmarkStart w:id="904" w:name="_Toc44227952"/>
      <w:bookmarkStart w:id="905" w:name="_Toc23359"/>
      <w:bookmarkStart w:id="906" w:name="_Toc7324"/>
      <w:r>
        <w:rPr>
          <w:rFonts w:hint="eastAsia"/>
          <w:color w:val="000000" w:themeColor="text1"/>
          <w:sz w:val="28"/>
          <w:szCs w:val="28"/>
          <w:highlight w:val="none"/>
          <w14:textFill>
            <w14:solidFill>
              <w14:schemeClr w14:val="tx1"/>
            </w14:solidFill>
          </w14:textFill>
        </w:rPr>
        <w:t>附件3履约保函（样式）</w:t>
      </w:r>
      <w:bookmarkEnd w:id="901"/>
      <w:bookmarkEnd w:id="902"/>
      <w:bookmarkEnd w:id="903"/>
      <w:bookmarkEnd w:id="904"/>
      <w:bookmarkEnd w:id="905"/>
      <w:bookmarkEnd w:id="906"/>
    </w:p>
    <w:p>
      <w:pPr>
        <w:spacing w:line="276" w:lineRule="auto"/>
        <w:ind w:firstLine="640" w:firstLineChars="200"/>
        <w:jc w:val="center"/>
        <w:rPr>
          <w:rFonts w:ascii="仿宋" w:hAnsi="仿宋" w:eastAsia="仿宋"/>
          <w:color w:val="000000" w:themeColor="text1"/>
          <w:kern w:val="0"/>
          <w:sz w:val="32"/>
          <w:szCs w:val="32"/>
          <w:highlight w:val="none"/>
          <w:u w:val="single"/>
          <w14:textFill>
            <w14:solidFill>
              <w14:schemeClr w14:val="tx1"/>
            </w14:solidFill>
          </w14:textFill>
        </w:rPr>
      </w:pPr>
      <w:r>
        <w:rPr>
          <w:rFonts w:hint="eastAsia" w:ascii="仿宋" w:hAnsi="仿宋" w:eastAsia="仿宋"/>
          <w:color w:val="000000" w:themeColor="text1"/>
          <w:kern w:val="0"/>
          <w:sz w:val="32"/>
          <w:szCs w:val="32"/>
          <w:highlight w:val="none"/>
          <w:u w:val="single"/>
          <w14:textFill>
            <w14:solidFill>
              <w14:schemeClr w14:val="tx1"/>
            </w14:solidFill>
          </w14:textFill>
        </w:rPr>
        <w:t>履约保函（格式）</w:t>
      </w:r>
    </w:p>
    <w:p>
      <w:pPr>
        <w:adjustRightInd w:val="0"/>
        <w:snapToGrid w:val="0"/>
        <w:spacing w:line="360" w:lineRule="auto"/>
        <w:jc w:val="left"/>
        <w:rPr>
          <w:rFonts w:ascii="仿宋" w:hAnsi="仿宋" w:eastAsia="仿宋"/>
          <w:color w:val="000000" w:themeColor="text1"/>
          <w:szCs w:val="21"/>
          <w:highlight w:val="none"/>
          <w:u w:val="singl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致：</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（以下简称“受益人”）：</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鉴于</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（以下简称“被担保人”）已与受益人签订了编号为</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的《</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 （以下简称“合同”），金额 （大写）：人民币</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元（RMB</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）。我方作为保证人，在此向受益人就被担保人履行合同提供</w:t>
      </w:r>
      <w:r>
        <w:rPr>
          <w:rFonts w:hint="eastAsia" w:ascii="仿宋" w:hAnsi="仿宋" w:eastAsia="仿宋"/>
          <w:b/>
          <w:color w:val="000000" w:themeColor="text1"/>
          <w:szCs w:val="21"/>
          <w:highlight w:val="none"/>
          <w14:textFill>
            <w14:solidFill>
              <w14:schemeClr w14:val="tx1"/>
            </w14:solidFill>
          </w14:textFill>
        </w:rPr>
        <w:t>不可撤销</w:t>
      </w:r>
      <w:r>
        <w:rPr>
          <w:rFonts w:hint="eastAsia" w:ascii="仿宋" w:hAnsi="仿宋" w:eastAsia="仿宋"/>
          <w:color w:val="000000" w:themeColor="text1"/>
          <w:szCs w:val="21"/>
          <w:highlight w:val="none"/>
          <w14:textFill>
            <w14:solidFill>
              <w14:schemeClr w14:val="tx1"/>
            </w14:solidFill>
          </w14:textFill>
        </w:rPr>
        <w:t>的</w:t>
      </w:r>
      <w:r>
        <w:rPr>
          <w:rFonts w:hint="eastAsia" w:ascii="仿宋" w:hAnsi="仿宋" w:eastAsia="仿宋"/>
          <w:b/>
          <w:color w:val="000000" w:themeColor="text1"/>
          <w:szCs w:val="21"/>
          <w:highlight w:val="none"/>
          <w14:textFill>
            <w14:solidFill>
              <w14:schemeClr w14:val="tx1"/>
            </w14:solidFill>
          </w14:textFill>
        </w:rPr>
        <w:t>连带责任保证担保</w:t>
      </w:r>
      <w:r>
        <w:rPr>
          <w:rFonts w:hint="eastAsia"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一、本保函担保的金额为（大写）人民币</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元（RMB</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二、本保函的有效期从合同生效之日起至合同项下工程竣工验收合格、结算完成且工程交付发包人（以时间较晚者为准）后第30天止。本保函有效期即为本保函的担保期限。</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三、本保函为</w:t>
      </w:r>
      <w:r>
        <w:rPr>
          <w:rFonts w:hint="eastAsia" w:ascii="仿宋" w:hAnsi="仿宋" w:eastAsia="仿宋"/>
          <w:b/>
          <w:color w:val="000000" w:themeColor="text1"/>
          <w:szCs w:val="21"/>
          <w:highlight w:val="none"/>
          <w14:textFill>
            <w14:solidFill>
              <w14:schemeClr w14:val="tx1"/>
            </w14:solidFill>
          </w14:textFill>
        </w:rPr>
        <w:t>见索即付</w:t>
      </w:r>
      <w:r>
        <w:rPr>
          <w:rFonts w:hint="eastAsia" w:ascii="仿宋" w:hAnsi="仿宋" w:eastAsia="仿宋"/>
          <w:color w:val="000000" w:themeColor="text1"/>
          <w:szCs w:val="21"/>
          <w:highlight w:val="none"/>
          <w14:textFill>
            <w14:solidFill>
              <w14:schemeClr w14:val="tx1"/>
            </w14:solidFill>
          </w14:textFill>
        </w:rPr>
        <w:t>保函，在本保函的担保期限内，我方将在收到受益人经法定代表人或其授权委托代理人签字并加盖公章的书面索赔通知原件后</w:t>
      </w:r>
      <w:r>
        <w:rPr>
          <w:rFonts w:hint="eastAsia" w:ascii="仿宋" w:hAnsi="仿宋" w:eastAsia="仿宋"/>
          <w:color w:val="000000" w:themeColor="text1"/>
          <w:szCs w:val="21"/>
          <w:highlight w:val="none"/>
          <w:u w:val="single"/>
          <w14:textFill>
            <w14:solidFill>
              <w14:schemeClr w14:val="tx1"/>
            </w14:solidFill>
          </w14:textFill>
        </w:rPr>
        <w:t xml:space="preserve">    </w:t>
      </w:r>
      <w:r>
        <w:rPr>
          <w:rFonts w:hint="eastAsia" w:ascii="仿宋" w:hAnsi="仿宋" w:eastAsia="仿宋"/>
          <w:color w:val="000000" w:themeColor="text1"/>
          <w:szCs w:val="21"/>
          <w:highlight w:val="none"/>
          <w14:textFill>
            <w14:solidFill>
              <w14:schemeClr w14:val="tx1"/>
            </w14:solidFill>
          </w14:textFill>
        </w:rPr>
        <w:t>个工作日内，</w:t>
      </w:r>
      <w:r>
        <w:rPr>
          <w:rFonts w:hint="eastAsia" w:ascii="仿宋" w:hAnsi="仿宋" w:eastAsia="仿宋"/>
          <w:b/>
          <w:color w:val="000000" w:themeColor="text1"/>
          <w:szCs w:val="21"/>
          <w:highlight w:val="none"/>
          <w14:textFill>
            <w14:solidFill>
              <w14:schemeClr w14:val="tx1"/>
            </w14:solidFill>
          </w14:textFill>
        </w:rPr>
        <w:t>不争辩、不挑剔、不可撤销</w:t>
      </w:r>
      <w:r>
        <w:rPr>
          <w:rFonts w:hint="eastAsia" w:ascii="仿宋" w:hAnsi="仿宋" w:eastAsia="仿宋"/>
          <w:color w:val="000000" w:themeColor="text1"/>
          <w:szCs w:val="21"/>
          <w:highlight w:val="none"/>
          <w14:textFill>
            <w14:solidFill>
              <w14:schemeClr w14:val="tx1"/>
            </w14:solidFill>
          </w14:textFill>
        </w:rPr>
        <w:t>地向受益人支付索赔款，直至本保函担保的最高金额。</w:t>
      </w:r>
      <w:r>
        <w:rPr>
          <w:rFonts w:hint="eastAsia" w:ascii="仿宋" w:hAnsi="仿宋" w:eastAsia="仿宋"/>
          <w:b/>
          <w:color w:val="000000" w:themeColor="text1"/>
          <w:szCs w:val="21"/>
          <w:highlight w:val="none"/>
          <w14:textFill>
            <w14:solidFill>
              <w14:schemeClr w14:val="tx1"/>
            </w14:solidFill>
          </w14:textFill>
        </w:rPr>
        <w:t>受益人出具的书面索赔通知书无需要求证明被担保人是否违约或索赔金额是否恰当</w:t>
      </w:r>
      <w:r>
        <w:rPr>
          <w:rFonts w:hint="eastAsia"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四</w:t>
      </w:r>
      <w:r>
        <w:rPr>
          <w:rFonts w:hint="eastAsia" w:ascii="仿宋" w:hAnsi="仿宋" w:eastAsia="仿宋"/>
          <w:color w:val="000000" w:themeColor="text1"/>
          <w:szCs w:val="21"/>
          <w:highlight w:val="none"/>
          <w14:textFill>
            <w14:solidFill>
              <w14:schemeClr w14:val="tx1"/>
            </w14:solidFill>
          </w14:textFill>
        </w:rPr>
        <w:t>、我方出具本保函后，</w:t>
      </w:r>
      <w:r>
        <w:rPr>
          <w:rFonts w:hint="eastAsia" w:ascii="仿宋" w:hAnsi="仿宋" w:eastAsia="仿宋"/>
          <w:b/>
          <w:color w:val="000000" w:themeColor="text1"/>
          <w:szCs w:val="21"/>
          <w:highlight w:val="none"/>
          <w14:textFill>
            <w14:solidFill>
              <w14:schemeClr w14:val="tx1"/>
            </w14:solidFill>
          </w14:textFill>
        </w:rPr>
        <w:t>受益人与被担保人对合同进行的任何修订，或受益人对合同有关事项的任何豁免或未追究皆不会解除或减轻我方于本保函担保项下的责任</w:t>
      </w:r>
      <w:r>
        <w:rPr>
          <w:rFonts w:hint="eastAsia"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五</w:t>
      </w:r>
      <w:r>
        <w:rPr>
          <w:rFonts w:hint="eastAsia" w:ascii="仿宋" w:hAnsi="仿宋" w:eastAsia="仿宋"/>
          <w:color w:val="000000" w:themeColor="text1"/>
          <w:szCs w:val="21"/>
          <w:highlight w:val="none"/>
          <w14:textFill>
            <w14:solidFill>
              <w14:schemeClr w14:val="tx1"/>
            </w14:solidFill>
          </w14:textFill>
        </w:rPr>
        <w:t>、本保函有效期届满，或我方向受益人支付索赔款已达本保函担保的最高金额，我方的担保责任免除，以两者中较早发生者为准。本保函到期后无论本保函原件是否退还我方，本保函到期即自动失效。</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六</w:t>
      </w:r>
      <w:r>
        <w:rPr>
          <w:rFonts w:hint="eastAsia" w:ascii="仿宋" w:hAnsi="仿宋" w:eastAsia="仿宋"/>
          <w:color w:val="000000" w:themeColor="text1"/>
          <w:szCs w:val="21"/>
          <w:highlight w:val="none"/>
          <w14:textFill>
            <w14:solidFill>
              <w14:schemeClr w14:val="tx1"/>
            </w14:solidFill>
          </w14:textFill>
        </w:rPr>
        <w:t>、本保函对我方及我方继受人有不可撤销的约束力，我方自愿作出上述承诺，并清楚了解本保函法律含义。</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七</w:t>
      </w:r>
      <w:r>
        <w:rPr>
          <w:rFonts w:hint="eastAsia" w:ascii="仿宋" w:hAnsi="仿宋" w:eastAsia="仿宋"/>
          <w:color w:val="000000" w:themeColor="text1"/>
          <w:szCs w:val="21"/>
          <w:highlight w:val="none"/>
          <w14:textFill>
            <w14:solidFill>
              <w14:schemeClr w14:val="tx1"/>
            </w14:solidFill>
          </w14:textFill>
        </w:rPr>
        <w:t>、本保函担保项下的权利不得转让或出让，但可由受益人之继承人或其受让人继承。</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八、受益人提出索赔的，应按以下通讯信息向我方发出书面通知：</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收件人：</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通讯地址：</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联系电话</w:t>
      </w:r>
      <w:r>
        <w:rPr>
          <w:rFonts w:ascii="仿宋" w:hAnsi="仿宋" w:eastAsia="仿宋"/>
          <w:color w:val="000000" w:themeColor="text1"/>
          <w:szCs w:val="21"/>
          <w:highlight w:val="none"/>
          <w14:textFill>
            <w14:solidFill>
              <w14:schemeClr w14:val="tx1"/>
            </w14:solidFill>
          </w14:textFill>
        </w:rPr>
        <w:t>：</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索赔通知如果通过专人送达，该通知在接收时即视为已经送达；如果通过信函邮寄方式送达，该通知在发出之日后【三】个工作日即视为已经送达。</w:t>
      </w:r>
    </w:p>
    <w:p>
      <w:pPr>
        <w:adjustRightInd w:val="0"/>
        <w:snapToGrid w:val="0"/>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九</w:t>
      </w:r>
      <w:r>
        <w:rPr>
          <w:rFonts w:hint="eastAsia" w:ascii="仿宋" w:hAnsi="仿宋" w:eastAsia="仿宋"/>
          <w:color w:val="000000" w:themeColor="text1"/>
          <w:szCs w:val="21"/>
          <w:highlight w:val="none"/>
          <w14:textFill>
            <w14:solidFill>
              <w14:schemeClr w14:val="tx1"/>
            </w14:solidFill>
          </w14:textFill>
        </w:rPr>
        <w:t>、本保函适用中华人民共和国法律法规。</w:t>
      </w:r>
    </w:p>
    <w:p>
      <w:pPr>
        <w:adjustRightInd w:val="0"/>
        <w:snapToGrid w:val="0"/>
        <w:spacing w:line="360" w:lineRule="auto"/>
        <w:ind w:firstLine="420" w:firstLineChars="200"/>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出具银行： </w:t>
      </w:r>
      <w:r>
        <w:rPr>
          <w:rFonts w:ascii="仿宋" w:hAnsi="仿宋" w:eastAsia="仿宋"/>
          <w:color w:val="000000" w:themeColor="text1"/>
          <w:szCs w:val="21"/>
          <w:highlight w:val="none"/>
          <w14:textFill>
            <w14:solidFill>
              <w14:schemeClr w14:val="tx1"/>
            </w14:solidFill>
          </w14:textFill>
        </w:rPr>
        <w:t xml:space="preserve">             </w:t>
      </w:r>
      <w:r>
        <w:rPr>
          <w:rFonts w:ascii="仿宋" w:hAnsi="仿宋" w:eastAsia="仿宋"/>
          <w:color w:val="000000" w:themeColor="text1"/>
          <w:sz w:val="28"/>
          <w:szCs w:val="28"/>
          <w:highlight w:val="none"/>
          <w14:textFill>
            <w14:solidFill>
              <w14:schemeClr w14:val="tx1"/>
            </w14:solidFill>
          </w14:textFill>
        </w:rPr>
        <w:t xml:space="preserve"> </w:t>
      </w:r>
    </w:p>
    <w:p>
      <w:pPr>
        <w:adjustRightInd w:val="0"/>
        <w:snapToGrid w:val="0"/>
        <w:spacing w:line="360" w:lineRule="auto"/>
        <w:ind w:firstLine="560" w:firstLineChars="200"/>
        <w:rPr>
          <w:rFonts w:ascii="仿宋" w:hAnsi="仿宋" w:eastAsia="仿宋"/>
          <w:color w:val="000000" w:themeColor="text1"/>
          <w:sz w:val="28"/>
          <w:szCs w:val="28"/>
          <w:highlight w:val="none"/>
          <w14:textFill>
            <w14:solidFill>
              <w14:schemeClr w14:val="tx1"/>
            </w14:solidFill>
          </w14:textFill>
        </w:rPr>
      </w:pPr>
    </w:p>
    <w:p>
      <w:pPr>
        <w:adjustRightInd w:val="0"/>
        <w:snapToGrid w:val="0"/>
        <w:spacing w:line="360" w:lineRule="auto"/>
        <w:ind w:firstLine="420" w:firstLineChars="200"/>
        <w:rPr>
          <w:rFonts w:ascii="仿宋" w:hAnsi="仿宋"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【备注要求：根据中国人民银行、银保监会发布的我国系统重要性银行名单，系统重要性银行包括 6 家国有商业银行、9家股份制商业银行和 4家城市商业银行，按系统重要性得分从低到高分为四组：第一组：平安银行、中国光大银行、华夏银行、广发银行、宁波银行、上海银行、江苏银行、北京银行；第二组：浦发银行、中信银行、中国民生银行、中国邮政储蓄银行；第三组：交通银行、招商银行、兴业银行；第四组：中国工商银行、中国银行、中国建设银行、中国农业银行。】</w:t>
      </w:r>
    </w:p>
    <w:p>
      <w:pPr>
        <w:widowControl/>
        <w:jc w:val="left"/>
        <w:rPr>
          <w:rFonts w:ascii="仿宋_GB2312" w:hAnsi="宋体" w:eastAsia="仿宋_GB2312"/>
          <w:color w:val="000000" w:themeColor="text1"/>
          <w:sz w:val="24"/>
          <w:szCs w:val="24"/>
          <w:highlight w:val="none"/>
          <w14:textFill>
            <w14:solidFill>
              <w14:schemeClr w14:val="tx1"/>
            </w14:solidFill>
          </w14:textFill>
        </w:rPr>
      </w:pPr>
      <w:r>
        <w:rPr>
          <w:rFonts w:ascii="仿宋_GB2312" w:hAnsi="宋体" w:eastAsia="仿宋_GB2312"/>
          <w:color w:val="000000" w:themeColor="text1"/>
          <w:sz w:val="24"/>
          <w:szCs w:val="24"/>
          <w:highlight w:val="none"/>
          <w14:textFill>
            <w14:solidFill>
              <w14:schemeClr w14:val="tx1"/>
            </w14:solidFill>
          </w14:textFill>
        </w:rPr>
        <w:br w:type="page"/>
      </w:r>
    </w:p>
    <w:p>
      <w:pPr>
        <w:pStyle w:val="2"/>
        <w:ind w:left="420" w:hanging="420"/>
        <w:rPr>
          <w:color w:val="000000" w:themeColor="text1"/>
          <w:sz w:val="28"/>
          <w:szCs w:val="28"/>
          <w:highlight w:val="none"/>
          <w14:textFill>
            <w14:solidFill>
              <w14:schemeClr w14:val="tx1"/>
            </w14:solidFill>
          </w14:textFill>
        </w:rPr>
      </w:pPr>
      <w:bookmarkStart w:id="907" w:name="_Toc44492630"/>
      <w:bookmarkStart w:id="908" w:name="_Toc1066"/>
      <w:bookmarkStart w:id="909" w:name="_Toc4792"/>
      <w:bookmarkStart w:id="910" w:name="_Toc18036"/>
      <w:bookmarkStart w:id="911" w:name="_Toc44227953"/>
      <w:bookmarkStart w:id="912" w:name="_Toc118446911"/>
      <w:r>
        <w:rPr>
          <w:rFonts w:hint="eastAsia"/>
          <w:color w:val="000000" w:themeColor="text1"/>
          <w:sz w:val="28"/>
          <w:szCs w:val="28"/>
          <w:highlight w:val="none"/>
          <w14:textFill>
            <w14:solidFill>
              <w14:schemeClr w14:val="tx1"/>
            </w14:solidFill>
          </w14:textFill>
        </w:rPr>
        <w:t>附件4云港城项目9#、11#地块永久用电工程材料设备品牌推荐表（另册）</w:t>
      </w:r>
      <w:bookmarkEnd w:id="907"/>
      <w:bookmarkEnd w:id="908"/>
      <w:bookmarkEnd w:id="909"/>
      <w:bookmarkEnd w:id="910"/>
      <w:bookmarkEnd w:id="911"/>
      <w:bookmarkEnd w:id="912"/>
    </w:p>
    <w:p>
      <w:pPr>
        <w:widowControl/>
        <w:jc w:val="left"/>
        <w:rPr>
          <w:rFonts w:ascii="Times New Roman" w:hAnsi="Times New Roman"/>
          <w:b/>
          <w:bCs/>
          <w:color w:val="000000" w:themeColor="text1"/>
          <w:kern w:val="44"/>
          <w:sz w:val="30"/>
          <w:szCs w:val="30"/>
          <w:highlight w:val="none"/>
          <w14:textFill>
            <w14:solidFill>
              <w14:schemeClr w14:val="tx1"/>
            </w14:solidFill>
          </w14:textFill>
        </w:rPr>
      </w:pPr>
      <w:r>
        <w:rPr>
          <w:color w:val="000000" w:themeColor="text1"/>
          <w:sz w:val="30"/>
          <w:szCs w:val="30"/>
          <w:highlight w:val="none"/>
          <w14:textFill>
            <w14:solidFill>
              <w14:schemeClr w14:val="tx1"/>
            </w14:solidFill>
          </w14:textFill>
        </w:rPr>
        <w:br w:type="page"/>
      </w:r>
    </w:p>
    <w:p>
      <w:pPr>
        <w:pStyle w:val="2"/>
        <w:spacing w:after="0" w:line="240" w:lineRule="auto"/>
        <w:rPr>
          <w:rFonts w:ascii="仿宋" w:hAnsi="仿宋" w:eastAsia="仿宋"/>
          <w:color w:val="000000" w:themeColor="text1"/>
          <w:sz w:val="28"/>
          <w:szCs w:val="28"/>
          <w:highlight w:val="none"/>
          <w14:textFill>
            <w14:solidFill>
              <w14:schemeClr w14:val="tx1"/>
            </w14:solidFill>
          </w14:textFill>
        </w:rPr>
      </w:pPr>
      <w:bookmarkStart w:id="913" w:name="_Toc57"/>
      <w:bookmarkStart w:id="914" w:name="_Toc44492631"/>
      <w:bookmarkStart w:id="915" w:name="_Toc118446912"/>
      <w:bookmarkStart w:id="916" w:name="_Toc44227954"/>
      <w:bookmarkStart w:id="917" w:name="_Toc15731"/>
      <w:bookmarkStart w:id="918" w:name="_Toc29522"/>
      <w:r>
        <w:rPr>
          <w:rFonts w:hint="eastAsia" w:ascii="仿宋" w:hAnsi="仿宋" w:eastAsia="仿宋"/>
          <w:color w:val="000000" w:themeColor="text1"/>
          <w:sz w:val="28"/>
          <w:szCs w:val="28"/>
          <w:highlight w:val="none"/>
          <w14:textFill>
            <w14:solidFill>
              <w14:schemeClr w14:val="tx1"/>
            </w14:solidFill>
          </w14:textFill>
        </w:rPr>
        <w:t>附件5 工程质量保修书</w:t>
      </w:r>
      <w:bookmarkEnd w:id="913"/>
      <w:bookmarkEnd w:id="914"/>
      <w:bookmarkEnd w:id="915"/>
      <w:bookmarkEnd w:id="916"/>
      <w:bookmarkEnd w:id="917"/>
      <w:bookmarkEnd w:id="918"/>
    </w:p>
    <w:p>
      <w:pPr>
        <w:spacing w:before="120" w:beforeLines="50"/>
        <w:jc w:val="center"/>
        <w:rPr>
          <w:rFonts w:ascii="仿宋" w:hAnsi="仿宋" w:eastAsia="仿宋"/>
          <w:b/>
          <w:color w:val="000000" w:themeColor="text1"/>
          <w:sz w:val="30"/>
          <w:szCs w:val="30"/>
          <w:highlight w:val="none"/>
          <w14:textFill>
            <w14:solidFill>
              <w14:schemeClr w14:val="tx1"/>
            </w14:solidFill>
          </w14:textFill>
        </w:rPr>
      </w:pPr>
      <w:r>
        <w:rPr>
          <w:rFonts w:hint="eastAsia" w:ascii="仿宋" w:hAnsi="仿宋" w:eastAsia="仿宋"/>
          <w:b/>
          <w:color w:val="000000" w:themeColor="text1"/>
          <w:sz w:val="30"/>
          <w:szCs w:val="30"/>
          <w:highlight w:val="none"/>
          <w14:textFill>
            <w14:solidFill>
              <w14:schemeClr w14:val="tx1"/>
            </w14:solidFill>
          </w14:textFill>
        </w:rPr>
        <w:t>工程质量保修书</w:t>
      </w:r>
    </w:p>
    <w:p>
      <w:pPr>
        <w:rPr>
          <w:rFonts w:ascii="仿宋_GB2312" w:hAnsi="宋体" w:eastAsia="仿宋_GB2312"/>
          <w:color w:val="000000" w:themeColor="text1"/>
          <w:highlight w:val="none"/>
          <w14:textFill>
            <w14:solidFill>
              <w14:schemeClr w14:val="tx1"/>
            </w14:solidFill>
          </w14:textFill>
        </w:rPr>
      </w:pPr>
    </w:p>
    <w:p>
      <w:pPr>
        <w:pStyle w:val="16"/>
        <w:snapToGrid w:val="0"/>
        <w:spacing w:line="360" w:lineRule="auto"/>
        <w:ind w:left="63" w:right="63"/>
        <w:jc w:val="left"/>
        <w:rPr>
          <w:rFonts w:ascii="仿宋_GB2312" w:eastAsia="仿宋_GB2312"/>
          <w:b/>
          <w:color w:val="000000" w:themeColor="text1"/>
          <w:szCs w:val="21"/>
          <w:highlight w:val="none"/>
          <w:u w:val="single"/>
          <w14:textFill>
            <w14:solidFill>
              <w14:schemeClr w14:val="tx1"/>
            </w14:solidFill>
          </w14:textFill>
        </w:rPr>
      </w:pPr>
      <w:r>
        <w:rPr>
          <w:rFonts w:hint="eastAsia" w:ascii="仿宋_GB2312" w:eastAsia="仿宋_GB2312"/>
          <w:color w:val="000000" w:themeColor="text1"/>
          <w:szCs w:val="21"/>
          <w:highlight w:val="none"/>
          <w14:textFill>
            <w14:solidFill>
              <w14:schemeClr w14:val="tx1"/>
            </w14:solidFill>
          </w14:textFill>
        </w:rPr>
        <w:t>承包人：</w:t>
      </w:r>
      <w:r>
        <w:rPr>
          <w:rFonts w:hint="eastAsia" w:ascii="仿宋_GB2312" w:eastAsia="仿宋_GB2312"/>
          <w:color w:val="000000" w:themeColor="text1"/>
          <w:szCs w:val="21"/>
          <w:highlight w:val="none"/>
          <w:u w:val="single"/>
          <w14:textFill>
            <w14:solidFill>
              <w14:schemeClr w14:val="tx1"/>
            </w14:solidFill>
          </w14:textFill>
        </w:rPr>
        <w:t xml:space="preserve">         </w:t>
      </w:r>
    </w:p>
    <w:p>
      <w:pPr>
        <w:pStyle w:val="16"/>
        <w:snapToGrid w:val="0"/>
        <w:spacing w:line="360" w:lineRule="auto"/>
        <w:ind w:left="63" w:right="63"/>
        <w:jc w:val="left"/>
        <w:rPr>
          <w:rFonts w:ascii="仿宋_GB2312" w:eastAsia="仿宋_GB2312"/>
          <w:color w:val="000000" w:themeColor="text1"/>
          <w:szCs w:val="21"/>
          <w:highlight w:val="none"/>
          <w:u w:val="single"/>
          <w14:textFill>
            <w14:solidFill>
              <w14:schemeClr w14:val="tx1"/>
            </w14:solidFill>
          </w14:textFill>
        </w:rPr>
      </w:pPr>
      <w:r>
        <w:rPr>
          <w:rFonts w:hint="eastAsia" w:ascii="仿宋_GB2312" w:eastAsia="仿宋_GB2312"/>
          <w:color w:val="000000" w:themeColor="text1"/>
          <w:szCs w:val="21"/>
          <w:highlight w:val="none"/>
          <w14:textFill>
            <w14:solidFill>
              <w14:schemeClr w14:val="tx1"/>
            </w14:solidFill>
          </w14:textFill>
        </w:rPr>
        <w:t>分包人：</w:t>
      </w:r>
      <w:r>
        <w:rPr>
          <w:rFonts w:hint="eastAsia" w:ascii="仿宋_GB2312" w:eastAsia="仿宋_GB2312"/>
          <w:color w:val="000000" w:themeColor="text1"/>
          <w:szCs w:val="21"/>
          <w:highlight w:val="none"/>
          <w:u w:val="single"/>
          <w14:textFill>
            <w14:solidFill>
              <w14:schemeClr w14:val="tx1"/>
            </w14:solidFill>
          </w14:textFill>
        </w:rPr>
        <w:t xml:space="preserve">         </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为保证工程在合理使用期限内正常使用，承包人、分包人经协商一致签订本工程质量保修书。分包人在工程质量保修期内按照有关管理规定及双方约定承担工程质量保修责任。</w:t>
      </w:r>
    </w:p>
    <w:p>
      <w:pPr>
        <w:pStyle w:val="107"/>
        <w:numPr>
          <w:ilvl w:val="0"/>
          <w:numId w:val="5"/>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工程质量保修范围和内容</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质量保修范围包括但不限于包括：</w:t>
      </w:r>
      <w:r>
        <w:rPr>
          <w:rFonts w:hint="eastAsia" w:ascii="仿宋_GB2312" w:hAnsi="宋体" w:eastAsia="仿宋_GB2312"/>
          <w:color w:val="000000" w:themeColor="text1"/>
          <w:szCs w:val="21"/>
          <w:highlight w:val="none"/>
          <w:u w:val="single"/>
          <w14:textFill>
            <w14:solidFill>
              <w14:schemeClr w14:val="tx1"/>
            </w14:solidFill>
          </w14:textFill>
        </w:rPr>
        <w:t>详见合同承包范围内容</w:t>
      </w:r>
      <w:r>
        <w:rPr>
          <w:rFonts w:hint="eastAsia" w:ascii="仿宋_GB2312" w:hAnsi="宋体" w:eastAsia="仿宋_GB2312"/>
          <w:color w:val="000000" w:themeColor="text1"/>
          <w:szCs w:val="21"/>
          <w:highlight w:val="none"/>
          <w14:textFill>
            <w14:solidFill>
              <w14:schemeClr w14:val="tx1"/>
            </w14:solidFill>
          </w14:textFill>
        </w:rPr>
        <w:t>。</w:t>
      </w:r>
    </w:p>
    <w:p>
      <w:pPr>
        <w:pStyle w:val="107"/>
        <w:numPr>
          <w:ilvl w:val="0"/>
          <w:numId w:val="5"/>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工程质量保修期</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工程质量保修</w:t>
      </w:r>
      <w:r>
        <w:rPr>
          <w:rFonts w:hint="eastAsia" w:ascii="仿宋_GB2312" w:hAnsi="宋体" w:eastAsia="仿宋_GB2312"/>
          <w:color w:val="000000" w:themeColor="text1"/>
          <w:szCs w:val="21"/>
          <w:highlight w:val="none"/>
          <w14:textFill>
            <w14:solidFill>
              <w14:schemeClr w14:val="tx1"/>
            </w14:solidFill>
          </w14:textFill>
        </w:rPr>
        <w:t>期从工程实际竣工验收合格并移交发包人之日算起。双方根据国家有关规定，结合具体工程约定</w:t>
      </w:r>
      <w:r>
        <w:rPr>
          <w:rFonts w:hint="eastAsia" w:ascii="仿宋_GB2312" w:hAnsi="宋体" w:eastAsia="仿宋_GB2312"/>
          <w:color w:val="000000" w:themeColor="text1"/>
          <w:highlight w:val="none"/>
          <w14:textFill>
            <w14:solidFill>
              <w14:schemeClr w14:val="tx1"/>
            </w14:solidFill>
          </w14:textFill>
        </w:rPr>
        <w:t>质量保修</w:t>
      </w:r>
      <w:r>
        <w:rPr>
          <w:rFonts w:hint="eastAsia" w:ascii="仿宋_GB2312" w:hAnsi="宋体" w:eastAsia="仿宋_GB2312"/>
          <w:color w:val="000000" w:themeColor="text1"/>
          <w:szCs w:val="21"/>
          <w:highlight w:val="none"/>
          <w14:textFill>
            <w14:solidFill>
              <w14:schemeClr w14:val="tx1"/>
            </w14:solidFill>
          </w14:textFill>
        </w:rPr>
        <w:t>期如下：</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主体结构工程为设计文件规定的该工程合理使用年限；</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防水工程、有防水要求的卫生间、房间和外墙面的防渗漏，为</w:t>
      </w:r>
      <w:r>
        <w:rPr>
          <w:rFonts w:hint="eastAsia" w:ascii="仿宋_GB2312" w:hAnsi="宋体" w:eastAsia="仿宋_GB2312"/>
          <w:color w:val="000000" w:themeColor="text1"/>
          <w:highlight w:val="none"/>
          <w:u w:val="single"/>
          <w14:textFill>
            <w14:solidFill>
              <w14:schemeClr w14:val="tx1"/>
            </w14:solidFill>
          </w14:textFill>
        </w:rPr>
        <w:t>伍</w:t>
      </w:r>
      <w:r>
        <w:rPr>
          <w:rFonts w:hint="eastAsia" w:ascii="仿宋_GB2312" w:hAnsi="宋体" w:eastAsia="仿宋_GB2312"/>
          <w:color w:val="000000" w:themeColor="text1"/>
          <w:highlight w:val="none"/>
          <w14:textFill>
            <w14:solidFill>
              <w14:schemeClr w14:val="tx1"/>
            </w14:solidFill>
          </w14:textFill>
        </w:rPr>
        <w:t>年；</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装饰装修工程为</w:t>
      </w:r>
      <w:r>
        <w:rPr>
          <w:rFonts w:hint="eastAsia" w:ascii="仿宋_GB2312" w:hAnsi="宋体" w:eastAsia="仿宋_GB2312"/>
          <w:color w:val="000000" w:themeColor="text1"/>
          <w:highlight w:val="none"/>
          <w:u w:val="single"/>
          <w14:textFill>
            <w14:solidFill>
              <w14:schemeClr w14:val="tx1"/>
            </w14:solidFill>
          </w14:textFill>
        </w:rPr>
        <w:t>贰</w:t>
      </w:r>
      <w:r>
        <w:rPr>
          <w:rFonts w:hint="eastAsia" w:ascii="仿宋_GB2312" w:hAnsi="宋体" w:eastAsia="仿宋_GB2312"/>
          <w:color w:val="000000" w:themeColor="text1"/>
          <w:highlight w:val="none"/>
          <w14:textFill>
            <w14:solidFill>
              <w14:schemeClr w14:val="tx1"/>
            </w14:solidFill>
          </w14:textFill>
        </w:rPr>
        <w:t>年；</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电气管线、给排水管道、设备安装工程为</w:t>
      </w:r>
      <w:r>
        <w:rPr>
          <w:rFonts w:hint="eastAsia" w:ascii="仿宋_GB2312" w:hAnsi="宋体" w:eastAsia="仿宋_GB2312"/>
          <w:color w:val="000000" w:themeColor="text1"/>
          <w:highlight w:val="none"/>
          <w:u w:val="single"/>
          <w14:textFill>
            <w14:solidFill>
              <w14:schemeClr w14:val="tx1"/>
            </w14:solidFill>
          </w14:textFill>
        </w:rPr>
        <w:t>贰</w:t>
      </w:r>
      <w:r>
        <w:rPr>
          <w:rFonts w:hint="eastAsia" w:ascii="仿宋_GB2312" w:hAnsi="宋体" w:eastAsia="仿宋_GB2312"/>
          <w:color w:val="000000" w:themeColor="text1"/>
          <w:highlight w:val="none"/>
          <w14:textFill>
            <w14:solidFill>
              <w14:schemeClr w14:val="tx1"/>
            </w14:solidFill>
          </w14:textFill>
        </w:rPr>
        <w:t>年；</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供热及供冷为</w:t>
      </w:r>
      <w:r>
        <w:rPr>
          <w:rFonts w:hint="eastAsia" w:ascii="仿宋_GB2312" w:hAnsi="宋体" w:eastAsia="仿宋_GB2312"/>
          <w:color w:val="000000" w:themeColor="text1"/>
          <w:highlight w:val="none"/>
          <w:u w:val="single"/>
          <w14:textFill>
            <w14:solidFill>
              <w14:schemeClr w14:val="tx1"/>
            </w14:solidFill>
          </w14:textFill>
        </w:rPr>
        <w:t>贰</w:t>
      </w:r>
      <w:r>
        <w:rPr>
          <w:rFonts w:hint="eastAsia" w:ascii="仿宋_GB2312" w:hAnsi="宋体" w:eastAsia="仿宋_GB2312"/>
          <w:color w:val="000000" w:themeColor="text1"/>
          <w:highlight w:val="none"/>
          <w14:textFill>
            <w14:solidFill>
              <w14:schemeClr w14:val="tx1"/>
            </w14:solidFill>
          </w14:textFill>
        </w:rPr>
        <w:t>个采暖期、供冷期；</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其他项目质量保修期限约定如下：质量保修</w:t>
      </w:r>
      <w:r>
        <w:rPr>
          <w:rFonts w:hint="eastAsia" w:ascii="仿宋_GB2312" w:hAnsi="宋体" w:eastAsia="仿宋_GB2312"/>
          <w:color w:val="000000" w:themeColor="text1"/>
          <w:highlight w:val="none"/>
          <w:u w:val="single"/>
          <w14:textFill>
            <w14:solidFill>
              <w14:schemeClr w14:val="tx1"/>
            </w14:solidFill>
          </w14:textFill>
        </w:rPr>
        <w:t>期为工程整体竣工验收合格并移交发包人后的24个月</w:t>
      </w:r>
      <w:r>
        <w:rPr>
          <w:rFonts w:hint="eastAsia" w:ascii="仿宋_GB2312" w:hAnsi="宋体" w:eastAsia="仿宋_GB2312"/>
          <w:color w:val="000000" w:themeColor="text1"/>
          <w:highlight w:val="none"/>
          <w14:textFill>
            <w14:solidFill>
              <w14:schemeClr w14:val="tx1"/>
            </w14:solidFill>
          </w14:textFill>
        </w:rPr>
        <w:t>。</w:t>
      </w:r>
    </w:p>
    <w:p>
      <w:pPr>
        <w:pStyle w:val="107"/>
        <w:numPr>
          <w:ilvl w:val="0"/>
          <w:numId w:val="6"/>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其他约定：未尽事宜按国家现行规程、规范执行。</w:t>
      </w:r>
    </w:p>
    <w:p>
      <w:pPr>
        <w:pStyle w:val="107"/>
        <w:numPr>
          <w:ilvl w:val="0"/>
          <w:numId w:val="5"/>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质量保修责任</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属于保修范围、内容的项目，分包人应当在接到发包人（或发包人的物业公司）或承包人保修通知之日起</w:t>
      </w:r>
      <w:r>
        <w:rPr>
          <w:rFonts w:hint="eastAsia" w:ascii="仿宋_GB2312" w:hAnsi="宋体" w:eastAsia="仿宋_GB2312"/>
          <w:color w:val="000000" w:themeColor="text1"/>
          <w:highlight w:val="none"/>
          <w:u w:val="single"/>
          <w14:textFill>
            <w14:solidFill>
              <w14:schemeClr w14:val="tx1"/>
            </w14:solidFill>
          </w14:textFill>
        </w:rPr>
        <w:t xml:space="preserve">  24  </w:t>
      </w:r>
      <w:r>
        <w:rPr>
          <w:rFonts w:hint="eastAsia" w:ascii="仿宋_GB2312" w:hAnsi="宋体" w:eastAsia="仿宋_GB2312"/>
          <w:color w:val="000000" w:themeColor="text1"/>
          <w:highlight w:val="none"/>
          <w14:textFill>
            <w14:solidFill>
              <w14:schemeClr w14:val="tx1"/>
            </w14:solidFill>
          </w14:textFill>
        </w:rPr>
        <w:t>小时内派人保修。渗水、漏水、给排水、供电设施及线路出现等故障影响居民正常生活或商家经营活动时，分包人承诺在承包人通知后</w:t>
      </w:r>
      <w:r>
        <w:rPr>
          <w:rFonts w:hint="eastAsia" w:ascii="仿宋_GB2312" w:hAnsi="宋体" w:eastAsia="仿宋_GB2312"/>
          <w:color w:val="000000" w:themeColor="text1"/>
          <w:highlight w:val="none"/>
          <w:u w:val="single"/>
          <w14:textFill>
            <w14:solidFill>
              <w14:schemeClr w14:val="tx1"/>
            </w14:solidFill>
          </w14:textFill>
        </w:rPr>
        <w:t xml:space="preserve"> 4 </w:t>
      </w:r>
      <w:r>
        <w:rPr>
          <w:rFonts w:hint="eastAsia" w:ascii="仿宋_GB2312" w:hAnsi="宋体" w:eastAsia="仿宋_GB2312"/>
          <w:color w:val="000000" w:themeColor="text1"/>
          <w:highlight w:val="none"/>
          <w14:textFill>
            <w14:solidFill>
              <w14:schemeClr w14:val="tx1"/>
            </w14:solidFill>
          </w14:textFill>
        </w:rPr>
        <w:t>小时内赶到现场并于</w:t>
      </w:r>
      <w:r>
        <w:rPr>
          <w:rFonts w:hint="eastAsia" w:ascii="仿宋_GB2312" w:hAnsi="宋体" w:eastAsia="仿宋_GB2312"/>
          <w:color w:val="000000" w:themeColor="text1"/>
          <w:highlight w:val="none"/>
          <w:u w:val="single"/>
          <w14:textFill>
            <w14:solidFill>
              <w14:schemeClr w14:val="tx1"/>
            </w14:solidFill>
          </w14:textFill>
        </w:rPr>
        <w:t xml:space="preserve"> 6 </w:t>
      </w:r>
      <w:r>
        <w:rPr>
          <w:rFonts w:hint="eastAsia" w:ascii="仿宋_GB2312" w:hAnsi="宋体" w:eastAsia="仿宋_GB2312"/>
          <w:color w:val="000000" w:themeColor="text1"/>
          <w:highlight w:val="none"/>
          <w14:textFill>
            <w14:solidFill>
              <w14:schemeClr w14:val="tx1"/>
            </w14:solidFill>
          </w14:textFill>
        </w:rPr>
        <w:t>小时内完成维修。</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u w:val="single"/>
          <w14:textFill>
            <w14:solidFill>
              <w14:schemeClr w14:val="tx1"/>
            </w14:solidFill>
          </w14:textFill>
        </w:rPr>
      </w:pPr>
      <w:r>
        <w:rPr>
          <w:rFonts w:hint="eastAsia" w:ascii="仿宋_GB2312" w:hAnsi="宋体" w:eastAsia="仿宋_GB2312"/>
          <w:color w:val="000000" w:themeColor="text1"/>
          <w:highlight w:val="none"/>
          <w:u w:val="single"/>
          <w14:textFill>
            <w14:solidFill>
              <w14:schemeClr w14:val="tx1"/>
            </w14:solidFill>
          </w14:textFill>
        </w:rPr>
        <w:t>发生紧急抢修事故的，分包人接到事故通知后，应当立即到达事故现场抢修。</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对于涉及结构安全的质量问题，应当按照《房屋建筑工程质量保修办法》的规定，立即向当地建设行政主管部门报告，采取安全防范措施；由原设计单位或者具有相应资质等级的设计单位提出保修方法，分包人实施保修。</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分包人不在约定期限内派人保修，发包人（或发包人的物业公司）或承包人可以委托他人维修，所需维修费用由分包人承担，直接从工程质量保证金冲抵，质量保证金不足以支付保修费用时，发包人或承包人有权进一步向分包人追索。</w:t>
      </w:r>
    </w:p>
    <w:p>
      <w:pPr>
        <w:pStyle w:val="107"/>
        <w:numPr>
          <w:ilvl w:val="0"/>
          <w:numId w:val="7"/>
        </w:numPr>
        <w:adjustRightInd w:val="0"/>
        <w:snapToGrid w:val="0"/>
        <w:spacing w:line="360" w:lineRule="auto"/>
        <w:ind w:left="0" w:firstLine="420"/>
        <w:rPr>
          <w:rFonts w:ascii="仿宋_GB2312" w:hAnsi="宋体" w:eastAsia="仿宋_GB2312"/>
          <w:color w:val="000000" w:themeColor="text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质量保修完成后，由发包人及承包人组织验收，由于分包人工程质量问题造成发包人和业主的全部和间接损失，由分包人无条件承担。</w:t>
      </w:r>
    </w:p>
    <w:p>
      <w:pPr>
        <w:pStyle w:val="107"/>
        <w:numPr>
          <w:ilvl w:val="0"/>
          <w:numId w:val="5"/>
        </w:numPr>
        <w:adjustRightInd w:val="0"/>
        <w:snapToGrid w:val="0"/>
        <w:spacing w:line="360" w:lineRule="auto"/>
        <w:ind w:left="0" w:firstLine="42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highlight w:val="none"/>
          <w14:textFill>
            <w14:solidFill>
              <w14:schemeClr w14:val="tx1"/>
            </w14:solidFill>
          </w14:textFill>
        </w:rPr>
        <w:t>质</w:t>
      </w:r>
      <w:r>
        <w:rPr>
          <w:rFonts w:hint="eastAsia" w:ascii="仿宋_GB2312" w:hAnsi="宋体" w:eastAsia="仿宋_GB2312"/>
          <w:color w:val="000000" w:themeColor="text1"/>
          <w:szCs w:val="21"/>
          <w:highlight w:val="none"/>
          <w14:textFill>
            <w14:solidFill>
              <w14:schemeClr w14:val="tx1"/>
            </w14:solidFill>
          </w14:textFill>
        </w:rPr>
        <w:t>量</w:t>
      </w:r>
      <w:r>
        <w:rPr>
          <w:rFonts w:hint="eastAsia" w:ascii="仿宋_GB2312" w:hAnsi="宋体" w:eastAsia="仿宋_GB2312"/>
          <w:color w:val="000000" w:themeColor="text1"/>
          <w:highlight w:val="none"/>
          <w14:textFill>
            <w14:solidFill>
              <w14:schemeClr w14:val="tx1"/>
            </w14:solidFill>
          </w14:textFill>
        </w:rPr>
        <w:t>保证金</w:t>
      </w:r>
      <w:r>
        <w:rPr>
          <w:rFonts w:hint="eastAsia" w:ascii="仿宋_GB2312" w:hAnsi="宋体" w:eastAsia="仿宋_GB2312"/>
          <w:color w:val="000000" w:themeColor="text1"/>
          <w:szCs w:val="21"/>
          <w:highlight w:val="none"/>
          <w14:textFill>
            <w14:solidFill>
              <w14:schemeClr w14:val="tx1"/>
            </w14:solidFill>
          </w14:textFill>
        </w:rPr>
        <w:t>的额度</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本工程约定的工程质量</w:t>
      </w:r>
      <w:r>
        <w:rPr>
          <w:rFonts w:hint="eastAsia" w:ascii="仿宋_GB2312" w:hAnsi="宋体" w:eastAsia="仿宋_GB2312"/>
          <w:color w:val="000000" w:themeColor="text1"/>
          <w:highlight w:val="none"/>
          <w14:textFill>
            <w14:solidFill>
              <w14:schemeClr w14:val="tx1"/>
            </w14:solidFill>
          </w14:textFill>
        </w:rPr>
        <w:t>保证金</w:t>
      </w:r>
      <w:r>
        <w:rPr>
          <w:rFonts w:hint="eastAsia" w:ascii="仿宋_GB2312" w:hAnsi="宋体" w:eastAsia="仿宋_GB2312"/>
          <w:color w:val="000000" w:themeColor="text1"/>
          <w:szCs w:val="21"/>
          <w:highlight w:val="none"/>
          <w14:textFill>
            <w14:solidFill>
              <w14:schemeClr w14:val="tx1"/>
            </w14:solidFill>
          </w14:textFill>
        </w:rPr>
        <w:t>为该工程结算价款的 3%。</w:t>
      </w:r>
    </w:p>
    <w:p>
      <w:pPr>
        <w:pStyle w:val="107"/>
        <w:numPr>
          <w:ilvl w:val="0"/>
          <w:numId w:val="5"/>
        </w:numPr>
        <w:adjustRightInd w:val="0"/>
        <w:snapToGrid w:val="0"/>
        <w:spacing w:line="360" w:lineRule="auto"/>
        <w:ind w:left="0" w:firstLine="42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质量</w:t>
      </w:r>
      <w:r>
        <w:rPr>
          <w:rFonts w:hint="eastAsia" w:ascii="仿宋_GB2312" w:hAnsi="宋体" w:eastAsia="仿宋_GB2312"/>
          <w:color w:val="000000" w:themeColor="text1"/>
          <w:highlight w:val="none"/>
          <w14:textFill>
            <w14:solidFill>
              <w14:schemeClr w14:val="tx1"/>
            </w14:solidFill>
          </w14:textFill>
        </w:rPr>
        <w:t>保证金</w:t>
      </w:r>
      <w:r>
        <w:rPr>
          <w:rFonts w:hint="eastAsia" w:ascii="仿宋_GB2312" w:hAnsi="宋体" w:eastAsia="仿宋_GB2312"/>
          <w:color w:val="000000" w:themeColor="text1"/>
          <w:szCs w:val="21"/>
          <w:highlight w:val="none"/>
          <w14:textFill>
            <w14:solidFill>
              <w14:schemeClr w14:val="tx1"/>
            </w14:solidFill>
          </w14:textFill>
        </w:rPr>
        <w:t>的退还</w:t>
      </w:r>
    </w:p>
    <w:p>
      <w:pPr>
        <w:pStyle w:val="52"/>
        <w:ind w:firstLine="420"/>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t>缺陷责任期满，且分包人已全部完成缺陷修复责任时，分包人通过承包人向发包人申请到期退还质量保证金</w:t>
      </w:r>
      <w:r>
        <w:rPr>
          <w:rFonts w:hint="eastAsia"/>
          <w:color w:val="000000" w:themeColor="text1"/>
          <w:highlight w:val="none"/>
          <w14:textFill>
            <w14:solidFill>
              <w14:schemeClr w14:val="tx1"/>
            </w14:solidFill>
          </w14:textFill>
        </w:rPr>
        <w:t>，发包人应在 30天内会同承包人、分包人按照合同、保修书约定的内容和相关法律法规规章核实分包人是否完成缺陷修复、整改责任。如无异议，发包人在核实后通过承包人将剩余的质量保证金无息退还分包人。</w:t>
      </w:r>
    </w:p>
    <w:p>
      <w:pPr>
        <w:pStyle w:val="107"/>
        <w:numPr>
          <w:ilvl w:val="0"/>
          <w:numId w:val="5"/>
        </w:numPr>
        <w:adjustRightInd w:val="0"/>
        <w:snapToGrid w:val="0"/>
        <w:spacing w:line="360" w:lineRule="auto"/>
        <w:ind w:left="0" w:firstLine="42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缺陷责任期间，分包人未按《工程质量保修书》要求到场维修，发包人或承包人有权委托第三方维修，所需维修费用由分包人承担，直接从工程质量保证金冲抵，质量保证金不足以支付保修费用时，承包人有权进一步向分包人追索。</w:t>
      </w:r>
    </w:p>
    <w:p>
      <w:pPr>
        <w:pStyle w:val="107"/>
        <w:numPr>
          <w:ilvl w:val="0"/>
          <w:numId w:val="5"/>
        </w:numPr>
        <w:adjustRightInd w:val="0"/>
        <w:snapToGrid w:val="0"/>
        <w:spacing w:line="360" w:lineRule="auto"/>
        <w:ind w:left="0" w:firstLine="420"/>
        <w:rPr>
          <w:rFonts w:eastAsia="仿宋_GB2312"/>
          <w:color w:val="000000" w:themeColor="text1"/>
          <w:kern w:val="0"/>
          <w:szCs w:val="32"/>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在缺陷责任期满时，分包人没有完成保修责任的，发包人、承包人有权要求延长缺陷责任期，直至完成缺陷修复工作为止。并有权主张质量</w:t>
      </w:r>
      <w:r>
        <w:rPr>
          <w:rFonts w:hint="eastAsia" w:ascii="仿宋_GB2312" w:hAnsi="宋体" w:eastAsia="仿宋_GB2312"/>
          <w:color w:val="000000" w:themeColor="text1"/>
          <w:highlight w:val="none"/>
          <w14:textFill>
            <w14:solidFill>
              <w14:schemeClr w14:val="tx1"/>
            </w14:solidFill>
          </w14:textFill>
        </w:rPr>
        <w:t>保证金</w:t>
      </w:r>
      <w:r>
        <w:rPr>
          <w:rFonts w:hint="eastAsia" w:eastAsia="仿宋_GB2312"/>
          <w:color w:val="000000" w:themeColor="text1"/>
          <w:kern w:val="0"/>
          <w:szCs w:val="32"/>
          <w:highlight w:val="none"/>
          <w14:textFill>
            <w14:solidFill>
              <w14:schemeClr w14:val="tx1"/>
            </w14:solidFill>
          </w14:textFill>
        </w:rPr>
        <w:t>项下的付款权利。</w:t>
      </w:r>
    </w:p>
    <w:p>
      <w:pPr>
        <w:pStyle w:val="107"/>
        <w:numPr>
          <w:ilvl w:val="0"/>
          <w:numId w:val="5"/>
        </w:numPr>
        <w:adjustRightInd w:val="0"/>
        <w:snapToGrid w:val="0"/>
        <w:spacing w:line="360" w:lineRule="auto"/>
        <w:ind w:left="0" w:firstLine="420"/>
        <w:rPr>
          <w:color w:val="000000" w:themeColor="text1"/>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质量</w:t>
      </w:r>
      <w:r>
        <w:rPr>
          <w:rFonts w:hint="eastAsia" w:ascii="仿宋_GB2312" w:hAnsi="宋体" w:eastAsia="仿宋_GB2312"/>
          <w:color w:val="000000" w:themeColor="text1"/>
          <w:highlight w:val="none"/>
          <w14:textFill>
            <w14:solidFill>
              <w14:schemeClr w14:val="tx1"/>
            </w14:solidFill>
          </w14:textFill>
        </w:rPr>
        <w:t>保证金</w:t>
      </w:r>
      <w:r>
        <w:rPr>
          <w:rFonts w:hint="eastAsia" w:eastAsia="仿宋_GB2312"/>
          <w:color w:val="000000" w:themeColor="text1"/>
          <w:kern w:val="0"/>
          <w:szCs w:val="32"/>
          <w:highlight w:val="none"/>
          <w14:textFill>
            <w14:solidFill>
              <w14:schemeClr w14:val="tx1"/>
            </w14:solidFill>
          </w14:textFill>
        </w:rPr>
        <w:t>的退还并不表示分包人保修责任的结束，分包人仍须按照相关法律法规规章及本合同，包括但不限于专用条款的规定继续履行保修责任、质量责任。</w:t>
      </w:r>
    </w:p>
    <w:p>
      <w:pPr>
        <w:pStyle w:val="107"/>
        <w:numPr>
          <w:ilvl w:val="0"/>
          <w:numId w:val="5"/>
        </w:numPr>
        <w:adjustRightInd w:val="0"/>
        <w:snapToGrid w:val="0"/>
        <w:spacing w:line="360" w:lineRule="auto"/>
        <w:ind w:left="0" w:firstLine="420"/>
        <w:rPr>
          <w:color w:val="000000" w:themeColor="text1"/>
          <w:highlight w:val="none"/>
          <w14:textFill>
            <w14:solidFill>
              <w14:schemeClr w14:val="tx1"/>
            </w14:solidFill>
          </w14:textFill>
        </w:rPr>
      </w:pPr>
      <w:r>
        <w:rPr>
          <w:rFonts w:hint="eastAsia" w:eastAsia="仿宋_GB2312"/>
          <w:color w:val="000000" w:themeColor="text1"/>
          <w:kern w:val="0"/>
          <w:szCs w:val="32"/>
          <w:highlight w:val="none"/>
          <w14:textFill>
            <w14:solidFill>
              <w14:schemeClr w14:val="tx1"/>
            </w14:solidFill>
          </w14:textFill>
        </w:rPr>
        <w:t>其他</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双方约定的其他工程质量保修事项：</w:t>
      </w:r>
      <w:r>
        <w:rPr>
          <w:rFonts w:hint="eastAsia" w:ascii="仿宋_GB2312" w:hAnsi="宋体" w:eastAsia="仿宋_GB2312"/>
          <w:color w:val="000000" w:themeColor="text1"/>
          <w:szCs w:val="21"/>
          <w:highlight w:val="none"/>
          <w:u w:val="single"/>
          <w14:textFill>
            <w14:solidFill>
              <w14:schemeClr w14:val="tx1"/>
            </w14:solidFill>
          </w14:textFill>
        </w:rPr>
        <w:t>另行协商</w:t>
      </w:r>
      <w:r>
        <w:rPr>
          <w:rFonts w:hint="eastAsia" w:ascii="仿宋_GB2312" w:hAnsi="宋体" w:eastAsia="仿宋_GB2312"/>
          <w:color w:val="000000" w:themeColor="text1"/>
          <w:szCs w:val="21"/>
          <w:highlight w:val="none"/>
          <w14:textFill>
            <w14:solidFill>
              <w14:schemeClr w14:val="tx1"/>
            </w14:solidFill>
          </w14:textFill>
        </w:rPr>
        <w:t>。</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本工程质量保修书作为施工合同附件，由施工合同承包人分包人双方共同签署。</w:t>
      </w: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承 包 人(公章)：                                分 包 人(公章)：</w:t>
      </w:r>
    </w:p>
    <w:p>
      <w:pPr>
        <w:adjustRightInd w:val="0"/>
        <w:snapToGrid w:val="0"/>
        <w:spacing w:line="360" w:lineRule="auto"/>
        <w:rPr>
          <w:rFonts w:ascii="仿宋_GB2312" w:hAnsi="宋体" w:eastAsia="仿宋_GB2312"/>
          <w:color w:val="000000" w:themeColor="text1"/>
          <w:szCs w:val="21"/>
          <w:highlight w:val="none"/>
          <w14:textFill>
            <w14:solidFill>
              <w14:schemeClr w14:val="tx1"/>
            </w14:solidFill>
          </w14:textFill>
        </w:rPr>
      </w:pPr>
    </w:p>
    <w:p>
      <w:pPr>
        <w:adjustRightInd w:val="0"/>
        <w:snapToGrid w:val="0"/>
        <w:spacing w:line="360" w:lineRule="auto"/>
        <w:ind w:firstLine="420" w:firstLineChars="2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法定代表人或委托代理人(签署)：                  法定代表人或委托代理人(签署)：</w:t>
      </w:r>
    </w:p>
    <w:p>
      <w:pPr>
        <w:adjustRightInd w:val="0"/>
        <w:snapToGrid w:val="0"/>
        <w:spacing w:line="360" w:lineRule="auto"/>
        <w:rPr>
          <w:rFonts w:ascii="仿宋_GB2312" w:hAnsi="宋体" w:eastAsia="仿宋_GB2312"/>
          <w:color w:val="000000" w:themeColor="text1"/>
          <w:szCs w:val="21"/>
          <w:highlight w:val="none"/>
          <w:u w:val="single"/>
          <w14:textFill>
            <w14:solidFill>
              <w14:schemeClr w14:val="tx1"/>
            </w14:solidFill>
          </w14:textFill>
        </w:rPr>
      </w:pPr>
    </w:p>
    <w:p>
      <w:pPr>
        <w:adjustRightInd w:val="0"/>
        <w:snapToGrid w:val="0"/>
        <w:spacing w:line="360" w:lineRule="auto"/>
        <w:ind w:firstLine="840" w:firstLineChars="400"/>
        <w:rPr>
          <w:rFonts w:ascii="仿宋_GB2312" w:hAnsi="宋体" w:eastAsia="仿宋_GB2312"/>
          <w:color w:val="000000" w:themeColor="text1"/>
          <w:szCs w:val="21"/>
          <w:highlight w:val="none"/>
          <w14:textFill>
            <w14:solidFill>
              <w14:schemeClr w14:val="tx1"/>
            </w14:solidFill>
          </w14:textFill>
        </w:rPr>
      </w:pPr>
      <w:r>
        <w:rPr>
          <w:rFonts w:hint="eastAsia" w:ascii="仿宋_GB2312" w:hAnsi="宋体" w:eastAsia="仿宋_GB2312"/>
          <w:color w:val="000000" w:themeColor="text1"/>
          <w:szCs w:val="21"/>
          <w:highlight w:val="none"/>
          <w14:textFill>
            <w14:solidFill>
              <w14:schemeClr w14:val="tx1"/>
            </w14:solidFill>
          </w14:textFill>
        </w:rPr>
        <w:t>年   月   日                                    年   月   日</w:t>
      </w:r>
    </w:p>
    <w:p>
      <w:pPr>
        <w:spacing w:line="360" w:lineRule="auto"/>
        <w:jc w:val="left"/>
        <w:rPr>
          <w:color w:val="000000" w:themeColor="text1"/>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 xml:space="preserve"> </w:t>
      </w:r>
    </w:p>
    <w:p>
      <w:pPr>
        <w:pStyle w:val="2"/>
        <w:spacing w:line="240" w:lineRule="auto"/>
        <w:rPr>
          <w:rFonts w:ascii="仿宋" w:hAnsi="仿宋" w:eastAsia="仿宋"/>
          <w:color w:val="000000" w:themeColor="text1"/>
          <w:sz w:val="30"/>
          <w:szCs w:val="30"/>
          <w:highlight w:val="none"/>
          <w14:textFill>
            <w14:solidFill>
              <w14:schemeClr w14:val="tx1"/>
            </w14:solidFill>
          </w14:textFill>
        </w:rPr>
      </w:pPr>
      <w:r>
        <w:rPr>
          <w:color w:val="000000" w:themeColor="text1"/>
          <w:highlight w:val="none"/>
          <w14:textFill>
            <w14:solidFill>
              <w14:schemeClr w14:val="tx1"/>
            </w14:solidFill>
          </w14:textFill>
        </w:rPr>
        <w:br w:type="page"/>
      </w:r>
      <w:bookmarkStart w:id="919" w:name="_Toc22132"/>
      <w:bookmarkStart w:id="920" w:name="_Toc118446913"/>
      <w:bookmarkStart w:id="921" w:name="_Toc30211"/>
      <w:bookmarkStart w:id="922" w:name="_Toc44227955"/>
      <w:bookmarkStart w:id="923" w:name="_Toc44492632"/>
      <w:bookmarkStart w:id="924" w:name="_Toc18546"/>
      <w:r>
        <w:rPr>
          <w:rFonts w:hint="eastAsia" w:ascii="仿宋" w:hAnsi="仿宋" w:eastAsia="仿宋"/>
          <w:color w:val="000000" w:themeColor="text1"/>
          <w:sz w:val="30"/>
          <w:szCs w:val="30"/>
          <w:highlight w:val="none"/>
          <w14:textFill>
            <w14:solidFill>
              <w14:schemeClr w14:val="tx1"/>
            </w14:solidFill>
          </w14:textFill>
        </w:rPr>
        <w:t xml:space="preserve">附件6 </w:t>
      </w:r>
      <w:bookmarkEnd w:id="919"/>
      <w:r>
        <w:rPr>
          <w:rFonts w:hint="eastAsia" w:ascii="仿宋" w:hAnsi="仿宋" w:eastAsia="仿宋"/>
          <w:color w:val="000000" w:themeColor="text1"/>
          <w:sz w:val="30"/>
          <w:szCs w:val="30"/>
          <w:highlight w:val="none"/>
          <w14:textFill>
            <w14:solidFill>
              <w14:schemeClr w14:val="tx1"/>
            </w14:solidFill>
          </w14:textFill>
        </w:rPr>
        <w:t>总承包管理与配合服务管理办法</w:t>
      </w:r>
      <w:bookmarkEnd w:id="920"/>
    </w:p>
    <w:p>
      <w:pPr>
        <w:adjustRightInd w:val="0"/>
        <w:snapToGrid w:val="0"/>
        <w:spacing w:line="360" w:lineRule="auto"/>
        <w:jc w:val="center"/>
        <w:outlineLvl w:val="1"/>
        <w:rPr>
          <w:rFonts w:ascii="仿宋" w:hAnsi="仿宋" w:eastAsia="仿宋"/>
          <w:b/>
          <w:bCs/>
          <w:snapToGrid w:val="0"/>
          <w:color w:val="000000" w:themeColor="text1"/>
          <w:kern w:val="0"/>
          <w:sz w:val="28"/>
          <w:szCs w:val="28"/>
          <w:highlight w:val="none"/>
          <w14:textFill>
            <w14:solidFill>
              <w14:schemeClr w14:val="tx1"/>
            </w14:solidFill>
          </w14:textFill>
        </w:rPr>
      </w:pPr>
      <w:r>
        <w:rPr>
          <w:rFonts w:hint="eastAsia" w:ascii="仿宋" w:hAnsi="仿宋" w:eastAsia="仿宋"/>
          <w:color w:val="000000" w:themeColor="text1"/>
          <w:kern w:val="0"/>
          <w:szCs w:val="21"/>
          <w:highlight w:val="none"/>
          <w14:textFill>
            <w14:solidFill>
              <w14:schemeClr w14:val="tx1"/>
            </w14:solidFill>
          </w14:textFill>
        </w:rPr>
        <w:t xml:space="preserve">   </w:t>
      </w:r>
      <w:bookmarkStart w:id="925" w:name="_Toc467749114"/>
      <w:bookmarkStart w:id="926" w:name="_Toc475028322"/>
      <w:bookmarkStart w:id="927" w:name="_Toc465342876"/>
      <w:bookmarkStart w:id="928" w:name="_Toc468699498"/>
      <w:bookmarkStart w:id="929" w:name="_Toc484439176"/>
      <w:bookmarkStart w:id="930" w:name="_Toc468694204"/>
      <w:r>
        <w:rPr>
          <w:rFonts w:hint="eastAsia" w:ascii="仿宋" w:hAnsi="仿宋" w:eastAsia="仿宋"/>
          <w:b/>
          <w:color w:val="000000" w:themeColor="text1"/>
          <w:sz w:val="28"/>
          <w:szCs w:val="28"/>
          <w:highlight w:val="none"/>
          <w14:textFill>
            <w14:solidFill>
              <w14:schemeClr w14:val="tx1"/>
            </w14:solidFill>
          </w14:textFill>
        </w:rPr>
        <w:t>施工</w:t>
      </w:r>
      <w:r>
        <w:rPr>
          <w:rFonts w:hint="eastAsia" w:ascii="仿宋" w:hAnsi="仿宋" w:eastAsia="仿宋"/>
          <w:b/>
          <w:bCs/>
          <w:snapToGrid w:val="0"/>
          <w:color w:val="000000" w:themeColor="text1"/>
          <w:kern w:val="0"/>
          <w:sz w:val="28"/>
          <w:szCs w:val="28"/>
          <w:highlight w:val="none"/>
          <w14:textFill>
            <w14:solidFill>
              <w14:schemeClr w14:val="tx1"/>
            </w14:solidFill>
          </w14:textFill>
        </w:rPr>
        <w:t>总承包管理与配合服务</w:t>
      </w:r>
      <w:r>
        <w:rPr>
          <w:rFonts w:hint="eastAsia" w:ascii="仿宋" w:hAnsi="仿宋" w:eastAsia="仿宋"/>
          <w:color w:val="000000" w:themeColor="text1"/>
          <w:sz w:val="30"/>
          <w:szCs w:val="30"/>
          <w:highlight w:val="none"/>
          <w14:textFill>
            <w14:solidFill>
              <w14:schemeClr w14:val="tx1"/>
            </w14:solidFill>
          </w14:textFill>
        </w:rPr>
        <w:t>办法</w:t>
      </w:r>
      <w:bookmarkEnd w:id="925"/>
      <w:bookmarkEnd w:id="926"/>
      <w:bookmarkEnd w:id="927"/>
      <w:bookmarkEnd w:id="928"/>
      <w:bookmarkEnd w:id="929"/>
      <w:bookmarkEnd w:id="930"/>
    </w:p>
    <w:p>
      <w:pPr>
        <w:adjustRightInd w:val="0"/>
        <w:snapToGrid w:val="0"/>
        <w:spacing w:line="360" w:lineRule="auto"/>
        <w:jc w:val="center"/>
        <w:outlineLvl w:val="2"/>
        <w:rPr>
          <w:rFonts w:ascii="宋体" w:hAnsi="宋体"/>
          <w:b/>
          <w:bCs/>
          <w:color w:val="000000" w:themeColor="text1"/>
          <w:kern w:val="0"/>
          <w:sz w:val="28"/>
          <w:szCs w:val="28"/>
          <w:highlight w:val="none"/>
          <w14:textFill>
            <w14:solidFill>
              <w14:schemeClr w14:val="tx1"/>
            </w14:solidFill>
          </w14:textFill>
        </w:rPr>
      </w:pPr>
      <w:bookmarkStart w:id="931" w:name="_Toc465342877"/>
      <w:bookmarkStart w:id="932" w:name="_Toc468699499"/>
      <w:bookmarkStart w:id="933" w:name="_Toc467749115"/>
      <w:bookmarkStart w:id="934" w:name="_Toc484439177"/>
      <w:bookmarkStart w:id="935" w:name="_Toc475028323"/>
      <w:bookmarkStart w:id="936" w:name="_Toc468694205"/>
      <w:r>
        <w:rPr>
          <w:rFonts w:hint="eastAsia" w:ascii="宋体" w:hAnsi="宋体"/>
          <w:b/>
          <w:bCs/>
          <w:color w:val="000000" w:themeColor="text1"/>
          <w:kern w:val="0"/>
          <w:sz w:val="28"/>
          <w:szCs w:val="28"/>
          <w:highlight w:val="none"/>
          <w14:textFill>
            <w14:solidFill>
              <w14:schemeClr w14:val="tx1"/>
            </w14:solidFill>
          </w14:textFill>
        </w:rPr>
        <w:t>第一部分  施工总承包管理工作内容</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1</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总则</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1.1  制定本办法主要目的为明确总承包人在总包工作方面的管理、施工配合范围、义务和责任，以及专业承包人相应承担的义务和责任。总承包人在实施总包服务管理、施工配合及协调工作时，必须服从发包人及监理工程师的指令。</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1.2  本办法制订的基本原则为：建立以总承包人为首的包括由各专业承包人组合而成的的现场管理机构。在总承包人的统筹、管理及协调下，各专业承包人及专业分包人分别按各自的合同要求进行施工的同时，为了一个共同的目标而精诚合作，由此组成一个既独立（权责利相对独立）又统一（目标统一）的共同建设体。</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1.3  若本办法中、本办法与其它文件中存在互相矛盾时，以较严格者为准。</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2</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基本定义与要求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2.1  定义：</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w:t>
      </w:r>
      <w:r>
        <w:rPr>
          <w:rFonts w:hint="eastAsia" w:ascii="仿宋" w:hAnsi="仿宋" w:eastAsia="仿宋"/>
          <w:color w:val="000000" w:themeColor="text1"/>
          <w:szCs w:val="21"/>
          <w:highlight w:val="none"/>
          <w:u w:val="single"/>
          <w14:textFill>
            <w14:solidFill>
              <w14:schemeClr w14:val="tx1"/>
            </w14:solidFill>
          </w14:textFill>
        </w:rPr>
        <w:t xml:space="preserve">总承包人是指：                                       </w:t>
      </w:r>
    </w:p>
    <w:p>
      <w:pPr>
        <w:spacing w:line="360" w:lineRule="auto"/>
        <w:ind w:firstLine="420" w:firstLineChars="200"/>
        <w:jc w:val="left"/>
        <w:rPr>
          <w:rFonts w:ascii="仿宋" w:hAnsi="仿宋" w:eastAsia="仿宋"/>
          <w:color w:val="000000" w:themeColor="text1"/>
          <w:szCs w:val="21"/>
          <w:highlight w:val="none"/>
          <w:u w:val="singl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w:t>
      </w:r>
      <w:r>
        <w:rPr>
          <w:rFonts w:hint="eastAsia" w:ascii="仿宋" w:hAnsi="仿宋" w:eastAsia="仿宋"/>
          <w:color w:val="000000" w:themeColor="text1"/>
          <w:szCs w:val="21"/>
          <w:highlight w:val="none"/>
          <w:u w:val="single"/>
          <w14:textFill>
            <w14:solidFill>
              <w14:schemeClr w14:val="tx1"/>
            </w14:solidFill>
          </w14:textFill>
        </w:rPr>
        <w:t>专业</w:t>
      </w:r>
      <w:r>
        <w:rPr>
          <w:rFonts w:hint="eastAsia" w:ascii="仿宋" w:hAnsi="仿宋" w:eastAsia="仿宋"/>
          <w:color w:val="000000" w:themeColor="text1"/>
          <w:szCs w:val="21"/>
          <w:highlight w:val="none"/>
          <w14:textFill>
            <w14:solidFill>
              <w14:schemeClr w14:val="tx1"/>
            </w14:solidFill>
          </w14:textFill>
        </w:rPr>
        <w:t>承包</w:t>
      </w:r>
      <w:r>
        <w:rPr>
          <w:rFonts w:hint="eastAsia" w:ascii="仿宋" w:hAnsi="仿宋" w:eastAsia="仿宋"/>
          <w:color w:val="000000" w:themeColor="text1"/>
          <w:szCs w:val="21"/>
          <w:highlight w:val="none"/>
          <w:u w:val="single"/>
          <w14:textFill>
            <w14:solidFill>
              <w14:schemeClr w14:val="tx1"/>
            </w14:solidFill>
          </w14:textFill>
        </w:rPr>
        <w:t>人是指与合同通用条款与专用条款中的专业工程承包人。</w:t>
      </w:r>
    </w:p>
    <w:p>
      <w:pPr>
        <w:spacing w:line="360" w:lineRule="auto"/>
        <w:ind w:firstLine="420" w:firstLineChars="200"/>
        <w:jc w:val="left"/>
        <w:rPr>
          <w:rFonts w:ascii="仿宋" w:hAnsi="仿宋" w:eastAsia="仿宋"/>
          <w:color w:val="000000" w:themeColor="text1"/>
          <w:szCs w:val="21"/>
          <w:highlight w:val="none"/>
          <w:u w:val="single"/>
          <w14:textFill>
            <w14:solidFill>
              <w14:schemeClr w14:val="tx1"/>
            </w14:solidFill>
          </w14:textFill>
        </w:rPr>
      </w:pPr>
      <w:r>
        <w:rPr>
          <w:rFonts w:hint="eastAsia" w:ascii="仿宋" w:hAnsi="仿宋" w:eastAsia="仿宋"/>
          <w:color w:val="000000" w:themeColor="text1"/>
          <w:szCs w:val="21"/>
          <w:highlight w:val="none"/>
          <w:u w:val="single"/>
          <w14:textFill>
            <w14:solidFill>
              <w14:schemeClr w14:val="tx1"/>
            </w14:solidFill>
          </w14:textFill>
        </w:rPr>
        <w:t>3）专业分包人定义是指与合同通用条款与专用条款中的分包人及暂估价项目分包人。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2.2  总承包人在中标进场后，需根据招文件、合同条款及本办法相关要求编制详尽的现场管理办法（所包含的内容包括但不限于本办法），经报监理单位和发包人批准后实施。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2.3  发包人在组织专业承包工程的招标时，需将本办法及2.2款中的“现场管理办法”作为招标文件附件，要求投标单位作同意响应。</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2.4总承包人在与专业承包人及专业分包人签订管理协议时，需将本办法及发包人批准后实施的现场管理办法作为管理协议中的必要内容。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2.5本项目现场管理原则上以总承包人全面负责，各专业承包人及专业分包人各自负责自身承包范围内的相应工作及提供必要的配合。现场管理的实施未能达到合约与本办法要求的，由总承包人向发包人全面承担违约责任，若导致发包人损失的，则经发包人同意由总承包人先行向发包人全面承责。总承包人有义务督促专业承包人及专业分包人按要求完成，因专业承包人及专业分包人未履行或未按期按约完成的，由总承包人先行代为完成，并收集相关资料报经监理工程师确认，以作为总承包人向专业承包人及专业分包人的索赔依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2.6为更好地协调好参与本项目建设的各方关系，促进项目建设，本项目采用互为监督、互为促进的考核办法，每月将由专业承包人及专业分包人和总承包人之间互相进行打分考核，并将此考核纳入双方工程进度款支付的约束条件。具体考核办法由总承包人代为拟订，报监理工程师和发包人批准后实施。</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3</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承包范围</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总承包范围：包括总承包施工项目和总包管理项目。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总包管理范围：</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1）所有由发包人负责、承包人配合招标确定的暂估价项目，具体详总包合同附件15。</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2）所有由发包人选定的具有相应资质的专业施工单位，具体详见总包合同附件1。</w:t>
      </w:r>
    </w:p>
    <w:p>
      <w:pPr>
        <w:spacing w:line="360" w:lineRule="auto"/>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3）发包人依法直接供应的材料设备设施专项供应商，详见总包合同附件1</w:t>
      </w:r>
      <w:r>
        <w:rPr>
          <w:rFonts w:ascii="仿宋" w:hAnsi="仿宋" w:eastAsia="仿宋"/>
          <w:color w:val="000000" w:themeColor="text1"/>
          <w:szCs w:val="21"/>
          <w:highlight w:val="none"/>
          <w14:textFill>
            <w14:solidFill>
              <w14:schemeClr w14:val="tx1"/>
            </w14:solidFill>
          </w14:textFill>
        </w:rPr>
        <w:t>8</w:t>
      </w:r>
      <w:r>
        <w:rPr>
          <w:rFonts w:hint="eastAsia" w:ascii="仿宋" w:hAnsi="仿宋" w:eastAsia="仿宋"/>
          <w:color w:val="000000" w:themeColor="text1"/>
          <w:szCs w:val="21"/>
          <w:highlight w:val="none"/>
          <w14:textFill>
            <w14:solidFill>
              <w14:schemeClr w14:val="tx1"/>
            </w14:solidFill>
          </w14:textFill>
        </w:rPr>
        <w:t>。</w:t>
      </w:r>
    </w:p>
    <w:bookmarkEnd w:id="931"/>
    <w:bookmarkEnd w:id="932"/>
    <w:bookmarkEnd w:id="933"/>
    <w:bookmarkEnd w:id="934"/>
    <w:bookmarkEnd w:id="935"/>
    <w:bookmarkEnd w:id="936"/>
    <w:p>
      <w:pPr>
        <w:spacing w:before="72" w:beforeLines="30" w:after="72" w:afterLines="30" w:line="360" w:lineRule="auto"/>
        <w:ind w:firstLine="420"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w:t>
      </w:r>
      <w:r>
        <w:rPr>
          <w:rFonts w:hint="eastAsia" w:ascii="仿宋" w:hAnsi="仿宋" w:eastAsia="仿宋"/>
          <w:b/>
          <w:bCs/>
          <w:color w:val="000000" w:themeColor="text1"/>
          <w:sz w:val="24"/>
          <w:szCs w:val="24"/>
          <w:highlight w:val="none"/>
          <w14:textFill>
            <w14:solidFill>
              <w14:schemeClr w14:val="tx1"/>
            </w14:solidFill>
          </w14:textFill>
        </w:rPr>
        <w:t>4</w:t>
      </w:r>
      <w:r>
        <w:rPr>
          <w:rFonts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本项目合同结构和项目工程管理关系如下：</w:t>
      </w:r>
    </w:p>
    <w:tbl>
      <w:tblPr>
        <w:tblStyle w:val="37"/>
        <w:tblW w:w="0" w:type="auto"/>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562"/>
        <w:gridCol w:w="1985"/>
        <w:gridCol w:w="4678"/>
        <w:gridCol w:w="1495"/>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序号</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分类</w:t>
            </w:r>
          </w:p>
        </w:tc>
        <w:tc>
          <w:tcPr>
            <w:tcW w:w="4678" w:type="dxa"/>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合同关系</w:t>
            </w:r>
          </w:p>
        </w:tc>
        <w:tc>
          <w:tcPr>
            <w:tcW w:w="1495" w:type="dxa"/>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管理关系</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086"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1</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暂估价专业工程类合同</w:t>
            </w:r>
          </w:p>
        </w:tc>
        <w:tc>
          <w:tcPr>
            <w:tcW w:w="4678" w:type="dxa"/>
            <w:shd w:val="clear" w:color="auto" w:fill="auto"/>
            <w:vAlign w:val="center"/>
          </w:tcPr>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1、由发包人（或发包人与承包人联合）招标，确定分包人和分包价格。</w:t>
            </w:r>
          </w:p>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2、由承包人与分包人签署合同</w:t>
            </w:r>
          </w:p>
        </w:tc>
        <w:tc>
          <w:tcPr>
            <w:tcW w:w="1495" w:type="dxa"/>
            <w:vMerge w:val="restart"/>
            <w:shd w:val="clear" w:color="auto" w:fill="auto"/>
            <w:vAlign w:val="center"/>
          </w:tcPr>
          <w:p>
            <w:pPr>
              <w:spacing w:line="320" w:lineRule="exac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由承包人统一管理并提供管理配合服务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1413"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2</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暂估价安装服务类合同</w:t>
            </w:r>
          </w:p>
        </w:tc>
        <w:tc>
          <w:tcPr>
            <w:tcW w:w="4678" w:type="dxa"/>
            <w:shd w:val="clear" w:color="auto" w:fill="auto"/>
            <w:vAlign w:val="center"/>
          </w:tcPr>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1、供货与安装服务由发包人（或发包人与承包人联合）统一招标，确定分包人和分包价格。</w:t>
            </w:r>
          </w:p>
          <w:p>
            <w:pPr>
              <w:spacing w:line="320" w:lineRule="exac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2、供货合同由发包人与分包人签订合同；安装合同由承包人与分包人签署合同</w:t>
            </w:r>
          </w:p>
        </w:tc>
        <w:tc>
          <w:tcPr>
            <w:tcW w:w="1495" w:type="dxa"/>
            <w:vMerge w:val="continue"/>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13"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3</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发包人发包的专业工程/服务类合同</w:t>
            </w:r>
          </w:p>
        </w:tc>
        <w:tc>
          <w:tcPr>
            <w:tcW w:w="4678" w:type="dxa"/>
            <w:vMerge w:val="restart"/>
            <w:shd w:val="clear" w:color="auto" w:fill="auto"/>
            <w:vAlign w:val="center"/>
          </w:tcPr>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1、由发包人确定分包人及发包价格。</w:t>
            </w:r>
          </w:p>
          <w:p>
            <w:pPr>
              <w:spacing w:line="320" w:lineRule="exact"/>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2、由分包人与发包人签署合同</w:t>
            </w:r>
          </w:p>
        </w:tc>
        <w:tc>
          <w:tcPr>
            <w:tcW w:w="1495" w:type="dxa"/>
            <w:vMerge w:val="restart"/>
            <w:shd w:val="clear" w:color="auto" w:fill="auto"/>
            <w:vAlign w:val="center"/>
          </w:tcPr>
          <w:p>
            <w:pPr>
              <w:spacing w:line="320" w:lineRule="exac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承包人提供管理配合服务</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检测、监测服务类合同</w:t>
            </w:r>
          </w:p>
        </w:tc>
        <w:tc>
          <w:tcPr>
            <w:tcW w:w="4678" w:type="dxa"/>
            <w:vMerge w:val="continue"/>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p>
        </w:tc>
        <w:tc>
          <w:tcPr>
            <w:tcW w:w="1495" w:type="dxa"/>
            <w:vMerge w:val="continue"/>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510" w:hRule="atLeast"/>
        </w:trPr>
        <w:tc>
          <w:tcPr>
            <w:tcW w:w="562"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5</w:t>
            </w:r>
          </w:p>
        </w:tc>
        <w:tc>
          <w:tcPr>
            <w:tcW w:w="1985" w:type="dxa"/>
            <w:shd w:val="clear" w:color="auto" w:fill="auto"/>
            <w:vAlign w:val="center"/>
          </w:tcPr>
          <w:p>
            <w:pPr>
              <w:spacing w:line="320" w:lineRule="exact"/>
              <w:jc w:val="center"/>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甲供材料、设备类合同</w:t>
            </w:r>
          </w:p>
        </w:tc>
        <w:tc>
          <w:tcPr>
            <w:tcW w:w="4678" w:type="dxa"/>
            <w:vMerge w:val="continue"/>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p>
        </w:tc>
        <w:tc>
          <w:tcPr>
            <w:tcW w:w="1495" w:type="dxa"/>
            <w:vMerge w:val="continue"/>
            <w:shd w:val="clear" w:color="auto" w:fill="auto"/>
            <w:vAlign w:val="center"/>
          </w:tcPr>
          <w:p>
            <w:pPr>
              <w:spacing w:line="360" w:lineRule="auto"/>
              <w:jc w:val="center"/>
              <w:rPr>
                <w:rFonts w:ascii="仿宋" w:hAnsi="仿宋" w:eastAsia="仿宋"/>
                <w:color w:val="000000" w:themeColor="text1"/>
                <w:szCs w:val="21"/>
                <w:highlight w:val="none"/>
                <w14:textFill>
                  <w14:solidFill>
                    <w14:schemeClr w14:val="tx1"/>
                  </w14:solidFill>
                </w14:textFill>
              </w:rPr>
            </w:pPr>
          </w:p>
        </w:tc>
      </w:tr>
    </w:tbl>
    <w:p>
      <w:pPr>
        <w:spacing w:before="72" w:beforeLines="30" w:after="72" w:afterLines="30" w:line="360" w:lineRule="auto"/>
        <w:ind w:firstLine="420" w:firstLineChars="200"/>
        <w:jc w:val="left"/>
        <w:rPr>
          <w:rFonts w:ascii="仿宋" w:hAnsi="仿宋" w:eastAsia="仿宋"/>
          <w:bCs/>
          <w:color w:val="000000" w:themeColor="text1"/>
          <w:szCs w:val="21"/>
          <w:highlight w:val="none"/>
          <w14:textFill>
            <w14:solidFill>
              <w14:schemeClr w14:val="tx1"/>
            </w14:solidFill>
          </w14:textFill>
        </w:rPr>
      </w:pPr>
      <w:r>
        <w:rPr>
          <w:rFonts w:hint="eastAsia" w:ascii="仿宋" w:hAnsi="仿宋" w:eastAsia="仿宋"/>
          <w:bCs/>
          <w:color w:val="000000" w:themeColor="text1"/>
          <w:szCs w:val="21"/>
          <w:highlight w:val="none"/>
          <w14:textFill>
            <w14:solidFill>
              <w14:schemeClr w14:val="tx1"/>
            </w14:solidFill>
          </w14:textFill>
        </w:rPr>
        <w:t>注：上表分类的具体合同详合同相关附件。</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5</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工程管理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5.1总承包人对专业承包工程实施总包服务管理及协调，发包人按合同规定向总承包人支付总承包管理、施工配合及协调费。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5.2总承包人对各专业承包工程承担服务、管理及协调义务。专业承包人及专业分包人任何违约行为或疏忽导致工程损害或给发包人造成其它损失，由于总承包人管理不力的，总承包人承担相应的责任。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5.3各专业承包人及专业分包人不得在未得到发包人及总承包人同意前对其负责施工的专业承包工程全部或部分分包或转包，否则相应专业承包人及专业分包人将承担责任。</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6</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总承包人一般义务</w:t>
      </w:r>
    </w:p>
    <w:p>
      <w:pPr>
        <w:spacing w:line="360" w:lineRule="auto"/>
        <w:ind w:firstLine="422" w:firstLineChars="200"/>
        <w:rPr>
          <w:rFonts w:ascii="仿宋" w:hAnsi="仿宋" w:eastAsia="仿宋"/>
          <w:b/>
          <w:bCs/>
          <w:color w:val="000000" w:themeColor="text1"/>
          <w:szCs w:val="21"/>
          <w:highlight w:val="none"/>
          <w14:textFill>
            <w14:solidFill>
              <w14:schemeClr w14:val="tx1"/>
            </w14:solidFill>
          </w14:textFill>
        </w:rPr>
      </w:pPr>
      <w:r>
        <w:rPr>
          <w:rFonts w:hint="eastAsia" w:ascii="仿宋" w:hAnsi="仿宋" w:eastAsia="仿宋"/>
          <w:b/>
          <w:bCs/>
          <w:color w:val="000000" w:themeColor="text1"/>
          <w:szCs w:val="21"/>
          <w:highlight w:val="none"/>
          <w14:textFill>
            <w14:solidFill>
              <w14:schemeClr w14:val="tx1"/>
            </w14:solidFill>
          </w14:textFill>
        </w:rPr>
        <w:t>6.1 施工组织设计的提交和确认</w:t>
      </w:r>
    </w:p>
    <w:p>
      <w:pPr>
        <w:spacing w:line="360" w:lineRule="auto"/>
        <w:ind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6.1.1.承包人应于收到总监理工程师的进场通知后7天内向总监理工程师提交一式五份的项目及单位工程的施工组织设计。</w:t>
      </w:r>
    </w:p>
    <w:p>
      <w:pPr>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承包人提交的施工组织设计应当载明如下内容（包括但不限于）：</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工程概况</w:t>
      </w:r>
    </w:p>
    <w:p>
      <w:pPr>
        <w:numPr>
          <w:ilvl w:val="0"/>
          <w:numId w:val="8"/>
        </w:numPr>
        <w:adjustRightInd w:val="0"/>
        <w:snapToGrid w:val="0"/>
        <w:spacing w:line="360" w:lineRule="auto"/>
        <w:rPr>
          <w:rFonts w:ascii="仿宋" w:hAnsi="仿宋" w:eastAsia="仿宋"/>
          <w:color w:val="000000" w:themeColor="text1"/>
          <w:kern w:val="0"/>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施工现场组织机构（质量、安全、进度管理机构及职责）</w:t>
      </w:r>
    </w:p>
    <w:p>
      <w:pPr>
        <w:numPr>
          <w:ilvl w:val="0"/>
          <w:numId w:val="8"/>
        </w:numPr>
        <w:adjustRightInd w:val="0"/>
        <w:snapToGrid w:val="0"/>
        <w:spacing w:line="360" w:lineRule="auto"/>
        <w:ind w:left="0"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各分部分项工程完整的施工方案（包括施工准备、施工工序总体安排、主要工序和特殊工序的施工方法和施工效率估计，潜在问题的分析、工程成本的控制措施为控制成本，提高效益，拟采取的措施）；</w:t>
      </w:r>
    </w:p>
    <w:p>
      <w:pPr>
        <w:numPr>
          <w:ilvl w:val="0"/>
          <w:numId w:val="8"/>
        </w:numPr>
        <w:adjustRightInd w:val="0"/>
        <w:snapToGrid w:val="0"/>
        <w:spacing w:line="360" w:lineRule="auto"/>
        <w:ind w:left="0"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施工资源投入计划，包括：机械设备进场计划、工程材料和物料进场及仓储计划、施工人员进场计划等；</w:t>
      </w:r>
    </w:p>
    <w:p>
      <w:pPr>
        <w:numPr>
          <w:ilvl w:val="0"/>
          <w:numId w:val="8"/>
        </w:numPr>
        <w:adjustRightInd w:val="0"/>
        <w:snapToGrid w:val="0"/>
        <w:spacing w:line="360" w:lineRule="auto"/>
        <w:ind w:left="0"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施工现场平面布置图（包括施工道路平面图、各种临时设施、施工用水、监控设施、施工机具、材料构配件存放位置）；</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季节性施工措施；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地下管线及其他地下设施的处理措施；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保证工期、质量的措施；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保证安全生产、文明施工、减少扰民，且满足环境保护要求的措施；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妥善处理与相邻施工作业现场关系的措施；</w:t>
      </w:r>
    </w:p>
    <w:p>
      <w:pPr>
        <w:numPr>
          <w:ilvl w:val="0"/>
          <w:numId w:val="8"/>
        </w:numPr>
        <w:adjustRightInd w:val="0"/>
        <w:snapToGrid w:val="0"/>
        <w:spacing w:line="360" w:lineRule="auto"/>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其他与工程施工有关的管理方案、措施。</w:t>
      </w:r>
    </w:p>
    <w:p>
      <w:pPr>
        <w:spacing w:line="360" w:lineRule="auto"/>
        <w:ind w:firstLine="420" w:firstLineChars="200"/>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6.1.2</w:t>
      </w:r>
      <w:r>
        <w:rPr>
          <w:rFonts w:hint="eastAsia" w:ascii="仿宋" w:hAnsi="仿宋" w:eastAsia="仿宋"/>
          <w:color w:val="000000" w:themeColor="text1"/>
          <w:szCs w:val="21"/>
          <w:highlight w:val="none"/>
          <w:u w:val="single"/>
          <w14:textFill>
            <w14:solidFill>
              <w14:schemeClr w14:val="tx1"/>
            </w14:solidFill>
          </w14:textFill>
        </w:rPr>
        <w:t>总监理工程师和发包人在接到承包人提交的施工组织设计和工程进度计划后7天内予以确认或提出修改意见（总监理工程师在4天内审核并签署意见，发包人在3天内审核并签署意见）</w:t>
      </w:r>
      <w:r>
        <w:rPr>
          <w:rFonts w:hint="eastAsia" w:ascii="仿宋" w:hAnsi="仿宋" w:eastAsia="仿宋"/>
          <w:color w:val="000000" w:themeColor="text1"/>
          <w:szCs w:val="21"/>
          <w:highlight w:val="none"/>
          <w14:textFill>
            <w14:solidFill>
              <w14:schemeClr w14:val="tx1"/>
            </w14:solidFill>
          </w14:textFill>
        </w:rPr>
        <w:t>。逾期既不确认，也不提出书面意见的视为同意，但如遇到重大或技术复杂、难度大的施工方案（如深基坑支护及高支模等施工方案），则应按政府有关规定召开专家评审会评审。</w:t>
      </w:r>
    </w:p>
    <w:p>
      <w:pPr>
        <w:adjustRightInd w:val="0"/>
        <w:snapToGrid w:val="0"/>
        <w:spacing w:line="360" w:lineRule="auto"/>
        <w:ind w:left="424" w:leftChars="202"/>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w:t>
      </w:r>
      <w:r>
        <w:rPr>
          <w:rFonts w:ascii="仿宋" w:hAnsi="仿宋" w:eastAsia="仿宋"/>
          <w:color w:val="000000" w:themeColor="text1"/>
          <w:szCs w:val="21"/>
          <w:highlight w:val="none"/>
          <w14:textFill>
            <w14:solidFill>
              <w14:schemeClr w14:val="tx1"/>
            </w14:solidFill>
          </w14:textFill>
        </w:rPr>
        <w:t>.2 配合发包人项目管理的要求</w:t>
      </w:r>
    </w:p>
    <w:p>
      <w:pPr>
        <w:pStyle w:val="52"/>
        <w:ind w:firstLine="420"/>
        <w:rPr>
          <w:rFonts w:ascii="仿宋" w:hAnsi="仿宋" w:eastAsia="仿宋"/>
          <w:color w:val="000000" w:themeColor="text1"/>
          <w:kern w:val="2"/>
          <w:szCs w:val="21"/>
          <w:highlight w:val="none"/>
          <w14:textFill>
            <w14:solidFill>
              <w14:schemeClr w14:val="tx1"/>
            </w14:solidFill>
          </w14:textFill>
        </w:rPr>
      </w:pPr>
      <w:r>
        <w:rPr>
          <w:rFonts w:ascii="仿宋" w:hAnsi="仿宋" w:eastAsia="仿宋"/>
          <w:color w:val="000000" w:themeColor="text1"/>
          <w:kern w:val="2"/>
          <w:szCs w:val="21"/>
          <w:highlight w:val="none"/>
          <w14:textFill>
            <w14:solidFill>
              <w14:schemeClr w14:val="tx1"/>
            </w14:solidFill>
          </w14:textFill>
        </w:rPr>
        <w:t>6.2.1</w:t>
      </w:r>
      <w:r>
        <w:rPr>
          <w:rFonts w:hint="eastAsia" w:ascii="仿宋" w:hAnsi="仿宋" w:eastAsia="仿宋"/>
          <w:color w:val="000000" w:themeColor="text1"/>
          <w:kern w:val="2"/>
          <w:szCs w:val="21"/>
          <w:highlight w:val="none"/>
          <w14:textFill>
            <w14:solidFill>
              <w14:schemeClr w14:val="tx1"/>
            </w14:solidFill>
          </w14:textFill>
        </w:rPr>
        <w:t>承包人须遵守及执行发包人地工程管理部在项目实施期间实施的技术标准化、管理工作标准化、质量可视化、质量检查管理标准、第三方质量安全评估、四新技术的推、工程管理信息化等所有相关管控制度并接受相应的奖罚规定</w:t>
      </w:r>
      <w:r>
        <w:rPr>
          <w:rFonts w:ascii="仿宋" w:hAnsi="仿宋" w:eastAsia="仿宋"/>
          <w:color w:val="000000" w:themeColor="text1"/>
          <w:kern w:val="2"/>
          <w:szCs w:val="21"/>
          <w:highlight w:val="none"/>
          <w14:textFill>
            <w14:solidFill>
              <w14:schemeClr w14:val="tx1"/>
            </w14:solidFill>
          </w14:textFill>
        </w:rPr>
        <w:t>。</w:t>
      </w:r>
    </w:p>
    <w:p>
      <w:pPr>
        <w:pStyle w:val="52"/>
        <w:ind w:firstLine="420"/>
        <w:rPr>
          <w:rFonts w:ascii="仿宋" w:hAnsi="仿宋" w:eastAsia="仿宋"/>
          <w:color w:val="000000" w:themeColor="text1"/>
          <w:kern w:val="2"/>
          <w:szCs w:val="21"/>
          <w:highlight w:val="none"/>
          <w14:textFill>
            <w14:solidFill>
              <w14:schemeClr w14:val="tx1"/>
            </w14:solidFill>
          </w14:textFill>
        </w:rPr>
      </w:pPr>
      <w:r>
        <w:rPr>
          <w:rFonts w:hint="eastAsia" w:ascii="仿宋" w:hAnsi="仿宋" w:eastAsia="仿宋"/>
          <w:color w:val="000000" w:themeColor="text1"/>
          <w:kern w:val="2"/>
          <w:szCs w:val="21"/>
          <w:highlight w:val="none"/>
          <w14:textFill>
            <w14:solidFill>
              <w14:schemeClr w14:val="tx1"/>
            </w14:solidFill>
          </w14:textFill>
        </w:rPr>
        <w:t>6.2.2承包人须遵守及执行发包人工程管理部实行的工程启动会、方案评审、工程巡检、飞检的相关管理要求及接受相应的奖罚规定。</w:t>
      </w:r>
    </w:p>
    <w:p>
      <w:pPr>
        <w:pStyle w:val="52"/>
        <w:ind w:firstLine="420"/>
        <w:rPr>
          <w:rFonts w:ascii="仿宋" w:hAnsi="仿宋" w:eastAsia="仿宋"/>
          <w:color w:val="000000" w:themeColor="text1"/>
          <w:kern w:val="2"/>
          <w:szCs w:val="21"/>
          <w:highlight w:val="none"/>
          <w14:textFill>
            <w14:solidFill>
              <w14:schemeClr w14:val="tx1"/>
            </w14:solidFill>
          </w14:textFill>
        </w:rPr>
      </w:pPr>
      <w:r>
        <w:rPr>
          <w:rFonts w:hint="eastAsia" w:ascii="仿宋" w:hAnsi="仿宋" w:eastAsia="仿宋"/>
          <w:color w:val="000000" w:themeColor="text1"/>
          <w:kern w:val="2"/>
          <w:szCs w:val="21"/>
          <w:highlight w:val="none"/>
          <w14:textFill>
            <w14:solidFill>
              <w14:schemeClr w14:val="tx1"/>
            </w14:solidFill>
          </w14:textFill>
        </w:rPr>
        <w:t>6.2.3承包人须遵守及执行发包人工程管理部实行的样板管理制度、两点一线、读图讲图等相关管理要求及接受相应的奖罚规定。</w:t>
      </w:r>
    </w:p>
    <w:p>
      <w:pPr>
        <w:pStyle w:val="52"/>
        <w:ind w:firstLine="420"/>
        <w:rPr>
          <w:rFonts w:ascii="仿宋" w:hAnsi="仿宋" w:eastAsia="仿宋"/>
          <w:color w:val="000000" w:themeColor="text1"/>
          <w:szCs w:val="21"/>
          <w:highlight w:val="none"/>
          <w14:textFill>
            <w14:solidFill>
              <w14:schemeClr w14:val="tx1"/>
            </w14:solidFill>
          </w14:textFill>
        </w:rPr>
      </w:pPr>
      <w:r>
        <w:rPr>
          <w:rFonts w:ascii="仿宋" w:hAnsi="仿宋" w:eastAsia="仿宋"/>
          <w:color w:val="000000" w:themeColor="text1"/>
          <w:szCs w:val="21"/>
          <w:highlight w:val="none"/>
          <w14:textFill>
            <w14:solidFill>
              <w14:schemeClr w14:val="tx1"/>
            </w14:solidFill>
          </w14:textFill>
        </w:rPr>
        <w:t>6.2.4</w:t>
      </w:r>
      <w:r>
        <w:rPr>
          <w:rFonts w:hint="eastAsia" w:ascii="仿宋" w:hAnsi="仿宋" w:eastAsia="仿宋"/>
          <w:color w:val="000000" w:themeColor="text1"/>
          <w:kern w:val="2"/>
          <w:szCs w:val="21"/>
          <w:highlight w:val="none"/>
          <w14:textFill>
            <w14:solidFill>
              <w14:schemeClr w14:val="tx1"/>
            </w14:solidFill>
          </w14:textFill>
        </w:rPr>
        <w:t>承包人</w:t>
      </w:r>
      <w:r>
        <w:rPr>
          <w:rFonts w:hint="eastAsia" w:ascii="仿宋" w:hAnsi="仿宋" w:eastAsia="仿宋"/>
          <w:color w:val="000000" w:themeColor="text1"/>
          <w:szCs w:val="21"/>
          <w:highlight w:val="none"/>
          <w14:textFill>
            <w14:solidFill>
              <w14:schemeClr w14:val="tx1"/>
            </w14:solidFill>
          </w14:textFill>
        </w:rPr>
        <w:t>须遵守及执行发包人发布的其他管理制度、并积极配合发包人的供方评估，评估中发现的问题承包方须积极改进。</w:t>
      </w:r>
    </w:p>
    <w:p>
      <w:pPr>
        <w:adjustRightInd w:val="0"/>
        <w:snapToGrid w:val="0"/>
        <w:spacing w:line="360" w:lineRule="auto"/>
        <w:ind w:left="424" w:leftChars="202"/>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6.4施工场地</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6.4.1本项目位于</w:t>
      </w:r>
      <w:r>
        <w:rPr>
          <w:rFonts w:hint="eastAsia" w:ascii="仿宋" w:hAnsi="仿宋" w:eastAsia="仿宋"/>
          <w:color w:val="000000" w:themeColor="text1"/>
          <w:szCs w:val="21"/>
          <w:highlight w:val="none"/>
          <w:u w:val="single"/>
          <w14:textFill>
            <w14:solidFill>
              <w14:schemeClr w14:val="tx1"/>
            </w14:solidFill>
          </w14:textFill>
        </w:rPr>
        <w:t>广州市白云区</w:t>
      </w:r>
      <w:r>
        <w:rPr>
          <w:rFonts w:hint="eastAsia" w:ascii="仿宋" w:hAnsi="仿宋" w:eastAsia="仿宋"/>
          <w:color w:val="000000" w:themeColor="text1"/>
          <w:szCs w:val="21"/>
          <w:highlight w:val="none"/>
          <w14:textFill>
            <w14:solidFill>
              <w14:schemeClr w14:val="tx1"/>
            </w14:solidFill>
          </w14:textFill>
        </w:rPr>
        <w:t>，场地内施工、办公区域由施工单位按实际情况考虑，本项目严禁在用地红线内设置生活区。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6.4.2在施工作业区内，各专业承包人及专业分包人进场施工前，应向总承包人提供其施工机械及材料堆放所需场地面积、部位等要求，以便于总承包人合理安排施工作业区场地。对于作业区内临建设施，总承包人应统一规划，统一布置，对作业区现场容貌进行管理，不得私自乱搭临建。总承包人负责施工作业区文明施工、安全生产管理，并自觉接受监理工程师的监督和协调管理。</w:t>
      </w:r>
    </w:p>
    <w:p>
      <w:pPr>
        <w:spacing w:line="360" w:lineRule="auto"/>
        <w:ind w:firstLine="420" w:firstLineChars="200"/>
        <w:jc w:val="left"/>
        <w:rPr>
          <w:rFonts w:ascii="仿宋" w:hAnsi="仿宋" w:eastAsia="仿宋"/>
          <w:color w:val="000000" w:themeColor="text1"/>
          <w:szCs w:val="21"/>
          <w:highlight w:val="none"/>
          <w:u w:val="singl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6.4.3项目管理部办公区、公共区域的防盗保安、门卫、日常保洁、卫生清洁等工作亦统一由总承包人管理。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6.4.4总包于工地入口提供通行管制设备，系统同时要包含可以替所有工人制作、发出身份辨别卡及附有软件/硬件用于保持可供查核全部曾经到场人士的记录，也能在劳资争议时协助核实在工地实际工作时数，系统必须由一个有旋转栏杆装置的出入口，电子读卡器与掌印校对器合并组成，所有工人均发给一张身份辨别卡，使系统能够识别期间他们出入工地的情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6.5施工临时道路</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总承包人应协调各专业承包人及专业分包人的施工顺序、设备、材料进场时间、车辆流量控制，以确保现场施工道路畅通。总承包人负责施工临时道路的修筑和使用期间的维修和保养。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6.6施工用水、用电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6.6.1总承包人应保证施工期间现场水、电的正常使用，各级施工用电电箱负荷及水压均需确保满足施工要求。水电使用人包括但不限于总承包人及其分包人、发包人指定的各专业承包人、暂估价专业分包人、第三方检测与监测单位、材料设备安装供应商等。现场施工用的水电费已由发包人支付给总承包人，各专业分包人、各专业承包人不需再向总承包人支付水电费。生活区的水电费由各专业分包人、各专业承包人向总承包人支付。</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6.6.2总承包人应在每个施工（区域）楼层开设供水龙头，以便于各专业承包人及专业分包人用水方便。</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6.6.3总承包人必要时有义务为专业承包人及专业分包人提供超高加压水泵，同时委派专人管理。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6.6.4总承包人统一为项目施工现场（楼层及室外）配备满足施工需求的二级配电箱及水电接驳点，以确保各专业承包人及专业分包人用电方便。“塔楼每层1个，裙楼和地下室每2000平方米1个，且各专业分包接电路径不大于30米，否则总承包方须负责增加该范围的二级配电箱。</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6.6.5检测与监测等第三方中介服务机构受发包人委托在现场提供服务所需的水电费用，应由总承包人免费提供给第三方中介服务机构，且相关费用已包含在总承包服务与管理费内。</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6.7垃圾清运</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各专业承包人及专业分包人应做好各自作业区内的废弃物与垃圾的整理工作。建筑废弃物与垃圾由各专业承包人及专业分包人按总承包人的要求集中到一层指定地点，由总承包人统一外运。</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6.8安全设施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6.8.1总承包人必须在施工临时道路入口处设置安全警示牌、限速等标志，保证场内交通畅通、安全；在靠近场地的主要施工地段要设置安全警示栏杆或者标志。</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6.8.2总承包人必须在“四口、五临边”位置按招标文件及省、市有关文件要求做好安全防护工作，如设置安全设施、安全围网、围板和警示标志等。各专业承包人及专业分包人如施工需要须提前拆除时，必须经总承包人批准，并由总承包人采取有效的补救措施，专业承包人及专业分包人必须配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6.8.3井架、塔吊等垂直运输工具</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总承包人应向各专业承包人及专业分包人提供井架、塔吊等垂直运输装置和机械，包括机架人员的操作，但进出垂直运输工具的装卸或工作由专业承包人及专业分包人自行负责。</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6.8.4现场施工管理及协调</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必须安排对各专业承包工程有相关工作经验的现场技术人员负责协调及管理各有关专业承包工程,包括安排必须的工地协调会议,以协调各专业承包工程与总承包工程的工作界面、争议和冲突，配合整体施工进度，并监督各专业工程的施工，以保证专业承包工程的质量能满足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6.8.5施工脚手架、排栅</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6.8.6在施工脚手架、排栅尚未拆除前，总承包人应向各专业承包人及专业分包人无条件地提供现有的施工脚手架、排栅和现成的爬梯等设施使用，并保证上述设施使用过程的安全。</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6.8.7总承包人搭设脚手架时应协调各专业承包人及专业分包人的施工需要及进度，满足各专业承包人及专业分包人的合理要求。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6.8.8虽经总承包人充分协调，但如专业承包人及专业分包人因自身原因未能按工程整体进度计划要求，在总承包人拆除脚手架、排栅前进行相应工程施工，需要总承包人推迟拆除日期或另行搭设脚手架、排栅的，总承包人有权要求相应专业承包人及专业分包人支付相应费用。</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6.9轴线与标高、施工收口处理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为各专业承包人及专业分包人提供轴线和标高的控制点，包括在每层及必要的位置设有标高控制线，以供各专业承包人及专业分包人做施工定位和高程使用。待各专业承包人及专业分包人施工完毕后，由总承包人负责最后一道工序施工收口处理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6.10总承包人应认真执行上述各项规定，并对执行情况进行检查、监督和管理，如专业承包人及专业分包人违反了本办法有关规定而总承包人无及时发现、指出并采取相应管理措施的，且对此工程造成任何损失，总承包人应承担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6.11专业承包人及专业分包人必须按规定要求提交工程技术资料，总承包人对专业承包人及专业分包人的相关技术资料进行归档备案管理。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6.12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总承包人对专业承包人及专业分包人的具体配合服务内容可参见本管理办法附件。</w:t>
      </w:r>
    </w:p>
    <w:p>
      <w:pPr>
        <w:spacing w:before="72" w:beforeLines="30" w:after="72" w:afterLines="30" w:line="360" w:lineRule="auto"/>
        <w:ind w:firstLine="482" w:firstLineChars="200"/>
        <w:jc w:val="left"/>
        <w:rPr>
          <w:rFonts w:ascii="仿宋" w:hAnsi="仿宋" w:eastAsia="仿宋"/>
          <w:b/>
          <w:bCs/>
          <w:color w:val="000000" w:themeColor="text1"/>
          <w:szCs w:val="21"/>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7</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专业承包人及专业分包人一般义务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7.1专业承包人及专业分包人要接受总承包人的管理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人及专业分包人必须满足发包人与总承包人所签订的施工协议管理要求，在工期、质量、安全、现场文明施工等方面接受总承包人的管理和协调。若因专业承包人及专业分包人的原因引至总承包人需向发包人对整体工程的延误或专业承包工程的施工质量承担违约责任，专业承包人及专业分包人需向总承包人赔偿因其引至的损失。</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7.2进入现场施工的必备条件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7.2.1提交由发包人确认为专业承包人及专业分包人的证明文件。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7.2.2中标通知书（或具有同等效力的暂行施工协议）。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7.2.3专业承包人及专业分包人的营业执照及资质等级证书复印件。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7.2.4提交分专业承包工程的“施工组织方案”，包括：</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 专业承包人及专业分包人简介。</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(2)专业承包工程施工进度计划。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(3)主要技术措施方案。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(4)质量保证措施。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(5)安全保证措施。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(6)材料设备进场计划。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(7)劳动力进场计划。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(8)提供专业承包人及专业分包人施工经验及业绩。</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(9)提供专业承包人及专业分包人施工组织体系简况。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7.2.5按专业工程承包合同约定做好专业承包工程保险等事宜。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7.3质量管理基本义务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7.3.1对工程作业人员进行工艺过程技术交底，并做好交底记录。</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7.3.2实施有关质量检验的规定，并做好质量检验记录。</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7.3.3对工序间的技术接口实行交接手续。</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7.3.4提供原材料、半成品、成品的产品合格证及质保书。</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7.3.5做好不合格品处理的记录及纠正和预防措施工作。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7.3.6加强成品保护。</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7.3.7认真做好本专业承包工程的验收交付工作。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7.3.8按合同规定做好本专业承包工程的回访保修工作。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7.3.9发生质量事故时，必须及时向总承包人报告，并作出事故分析调查及善后处理意见。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7.4进度管理基本义务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7.4.1编制施工进度计划，包括：</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(1)编制施工方案，明确施工区域的划分，施工顺序与施工流向，以及作业方式，同时明确承包人法和施工队伍的组织架构。</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(2)编制科学、合理、且可行的施工项目进度计划，以保证项目施工的均衡进行。</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(3)编制资源供应计划，包括物料供应计划、机械设备的进场计划、劳务计划等。</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(4)编制图纸优化及供应计划。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7.4.2执行月报制度</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(1)按每月20日向总承包人报告本分包工程的执行情况。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(2)提交月度施工作业计划。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(3)提交各种资源与进度配合调度情况。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7.4.3顾全大局，主动做好协调工作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(1)参加有关现场工作协调会议，积极支持和配合总承包人做好工作协调。</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(2)及时根据总承包人工作安排主动调整进度计划。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(3)在进度上有任何提前及延误应及时向总承包人报告。</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(4)专业承包人及专业分包人有权向总承包人提出工程协调的建议，总承包人应在规定的时间内作出回复和解决。</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7.5安全、消防、现场标准化管理等的基本义务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7.5.1遵守各种安全生产规程与规定：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(1)遵守国家、省、市政府、主管部门颁布的安全生产规程与规定，以及发包人向总承包人提出的各种安全生产规定。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(2)结合工程项目实际，识别和评价危险源，必要时指定管理方案，并认真实施。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(3)接受总承包人的安全交底及部署。</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(4)完善和健全安全管理各种台帐，强化安全资料工作。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(5)开展安全教育工作，做好分部（分项）工程技术安全交底工作。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(6)特殊工种必须持证上岗，复印件汇总后报总承包人检查备案。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(7)专业承包人及专业分包人有义务保护现场各项安全、消防设施得完好，如施工脚手架、临边护栏及消防器材等，不得擅自变更及增加施工荷载。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必须接受总承包人的安全监控，参与工地的各项安全、消防检查工作，并落实有关整改事宜。专业承包人及专业分包人的整改工作若不能达到有关安全、消防管理标准（或不能及时达到要求的），经监理工程师核准，总承包人可以协助专业承包人及专业分包人予以整改，其发生的人工、机械、材料等一切相关费用将由专业承包人及专业分包人承担。</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专业承包人及专业分包人的所属人员，在作业过程中发生各类违章作业，总承包人应该并根据情节轻重、危害程度等具体情况或有关规定予以劝阻警告，情节严重者，监理工程师及发包人根据有关规定责令停工整顿直至退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(10)发生安全事故时，必须及时向总承包人报告，并作出事故分析调查及善后处理意见。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7.5.2做好消防与治安管理工作。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(1)开展消防与治安的教育工作。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(2)配合总承包人、政府主管部门做好治安管理工作。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7.5.3做好现场标准化管理工作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(1)各专业承包人及专业分包人进场施工前应根据总承包人制定的施工场地划分设计施工场地平面布置图，经总承包人审核同意后执行，实施“定置”管理。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(2)按总承包人要求做好场容场貌管理工作，废弃物与垃圾应按总承包人的要求集中到指定地点。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(3)遵守文明施工的有关规定，维护安全防护设施的完好。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(4)保持工地卫生、文明，努力做好宿舍内卫生工作。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7.6进场材料管理的基本义务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7.6.1各专业承包人及专业分包人应指定专人负责对进场所需材料的管理，并服从总承包人关于进场材料管理方面的要求。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7.6.2专业承包人及专业分包人提供材料（包括乙供材料、甲招乙供材料或甲供材料）进场的总计划，并提供月度材料进场计划。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7.6.3进场材料的流转程序：专业承包人及专业分包人各种进场材料必须在10天前按总承包人规定的要求，向总承包人提出申请，待总承包人批复后再执行。总承包人必须在2天内办理批复。</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7.6.4材料进场后，总承包人向专业承包人及专业分包人应提供必要的协助。</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7.7劳动力管理基本义务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7.7.1各专业承包人及专业分包人有责任约束所有员工遵守政府部门发布的有关政府、法律、法规、发包人的各项规章制度，以及施工现场的各项管理规定，确保现场文明施工有序进行。</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7.7.2专业承包人及专业分包人应将进入现场的施工人员名单及照片向总承包人申报。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7.7.3专业承包人及专业分包人必须向总承包人提供劳务人员的身份证复印件，特殊工种的相应操作证及上岗证。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对上述专业承包人及专业分包人的一般义务，总承包人应采取有效措施督促其执行，并监督其执行情况，对专业承包人及专业分包人违反上述有关规定的行为实际发生的，属自主分包项目的，总承包人承担全部违约责任，属专业承包项目，总承包人承担法定的连带责任。</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8</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施工现场管理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总承包人必须对专业承包人及专业分包人承担总体管理的义务和责任。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8.1施工总平面布置</w:t>
      </w:r>
    </w:p>
    <w:p>
      <w:pPr>
        <w:numPr>
          <w:ilvl w:val="2"/>
          <w:numId w:val="9"/>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总平面布置原则</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(1)在满足施工需要的前提下，尽量紧凑合理，不用（或少用）施工用地；</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(2)保证场内施工道路畅通；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(3)科学确定施工区域内要满足方便生产，有利于生活，安全防火，环境保护和劳动保护要求；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(4)各项施工设施布置要满足方便生产，有利于生活，安全防火，环境保护和劳动保护要求；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(5)将生产性和生活性设施分开布置。</w:t>
      </w:r>
    </w:p>
    <w:p>
      <w:pPr>
        <w:numPr>
          <w:ilvl w:val="2"/>
          <w:numId w:val="9"/>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总平面布置依据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(1)建筑设计总平面图、基础施工平面、建筑立面图；</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(2)施工组织总设计；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(3)有关施工规范、规程及地区建设工程文明施工标准；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(4)施工总平面具体布置及做法；</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(5)发包人提供的用地范围，水电接驳头位置，所有建筑物外的施工场地，包括生活区场地道路必须硬地化。</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8.2施工总平面管理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施工临时道路管理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根据投标文件承诺及招标文件、合同规定，满足施工过程中各种车辆、大型机械运输的通畅运行，满足安全文明施工的正常需要。施工临时道路包括施工标段内各拟建建筑物之间、拟建建筑物与施工临时设施之间，及珠江新城现有道路与正在施工中道路之间的施工连接通道，施工临时道路必须硬地化，道路两旁设满足施工需求的临时排水设施。并按批准的施工组织总设计的施工总平面图布置要求布置施工临时道路；</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(2)设专人负责道路的清洁、障碍清除维修保养工作，保持道路清洁、畅通，保证环境卫生，预防空气污染和环境污染；</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(3)专业承包人及专业分包人的大型构件场内运输和卸货必须由专业承包人及专业分包人向总承包人申请，由总承包人统筹安排；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为保证总承包人、各专业承包人及专业分包人施工人员、管理人员、专项供应商、监理工程师、材料供应监理、发包人以及省市政府有关领导和职能部门人员方便、安全地到达各作业区域，总承包人负责全部施工作业通道的搭设、维护和管理工作。总承包人在自身及各专业承包人及专业分包人施工方案时应有相应的措施，保证施工通道有显着标志、无建筑垃圾、有良好的采光或照明、易于行走、安全措施可靠，总承包人应每天巡视检查，对于不符合要求需要整改的内容发文给相关单位或部门要求立即做出整改。总承包人在施工作业通道的管理上达不到要求的，承担全部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施工用水（排水）管理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总承包人需按发包人提供的可用水量和施工组织总设计、总平面布置要求，在现场布置施工用水总管线（平面、立面）和生活用水总管网，并报监理工程师和发包人批准。施工用水和生活用水分开布置；主管道要有明显的保护标志，以防以外损坏；</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(2)总承包人对工地用水，设置总、分表实行统一管理；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(3)各专业承包人及专业分包人用水必须向总承包人提出申请，并按总承包人指定的位置接驳；</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(4)总承包人对总用水管线进行日常维护管理，保证正常，连续、足量供应、保证正常施工；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(5)总承包人做好各专业承包人及专业分包人用水管理；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(6)总承包人在施工区域设置数量足够的临时蓄水池以保证施工及消防需求；</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(7)总承包人对场内的排水（污）系统实行统一管理，定期或不定期的对各专业承包人及专业分包人施工区域和生活的排水（污）进行检查，保证排水（污）系统畅通，保护环境，防止污染河涌；</w:t>
      </w:r>
    </w:p>
    <w:p>
      <w:pPr>
        <w:numPr>
          <w:ilvl w:val="1"/>
          <w:numId w:val="0"/>
        </w:numPr>
        <w:tabs>
          <w:tab w:val="left" w:pos="540"/>
          <w:tab w:val="left" w:pos="2160"/>
          <w:tab w:val="left" w:pos="2700"/>
          <w:tab w:val="left" w:pos="2880"/>
        </w:tabs>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（8）总承包人对地下室排水系统需达到两套排水设备及排水管道（主管），在雨季及汛期能满足两套排水系统同时使用，确保已安装的设备及电梯地坑不泡水。</w:t>
      </w:r>
    </w:p>
    <w:p>
      <w:pPr>
        <w:numPr>
          <w:ilvl w:val="1"/>
          <w:numId w:val="0"/>
        </w:numPr>
        <w:tabs>
          <w:tab w:val="left" w:pos="540"/>
          <w:tab w:val="left" w:pos="2160"/>
          <w:tab w:val="left" w:pos="2700"/>
          <w:tab w:val="left" w:pos="2880"/>
        </w:tabs>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（9）当地下室开始机电安装后，需做好防洪、内涝准备工作，需常备防洪沙袋、柴油发电机、柴油抽水泵等防洪物资，并做好防洪应急预案。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（10）确保整个项目施工期间，采取适当的防护和排水措施防止地下室和其他施工现场遭到水浸。</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施工用电管理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(1)施工用电要遵守中华人民共和国建设部《施工现场临时用电安全技术规范》及《建筑施工安全检查标准》；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(2)总承包人按发包人提供的可用电量和施工组织总设计确定的电源类型和用量，根据施工需求自行铺设完善，横跨大门或道路时，高度应≥6m；</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(3)用电按生产用电和生活用电分别设置；</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(4)总承包人负责施工用电管理，在建筑物内各楼层及必要的位置设置分配电箱，以提供专业承包人施工用电接驳，专业承包人负责用电管理配合工作；不得随意拖地乱拉乱用；</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(5)各专业承包人及专业分包人向总承包人提出用电申请，并按总承包人指定位置驳接；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(6)总承包人对施工用电线路进行日常维修管理工作，保证现场正常用电；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(7)总承包人做好各专业承包人及专业分包人用电管理；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(8)承包人应定期或不定期的对现场用电进行检查，杜绝安全事故（隐患）的发生，杜绝乱拉乱用的现象；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(9)为确保现场正常施工，总承包人在现场配置数量、型号适合的发电机，且现场配置的发电机数量和型号应和投标文件中的承诺一致。</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施工场地管理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施工场地的布置应服从发包人及监理工程师的指示。现场四周设置施工围墙、大门。原则是严谨、完整、牢固、美观大方；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按照投标文件承诺，招标文件、合同的规定，施工现场的场地、施工临时道路保证（持）平整、坚实、畅通；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在大门两边分别设置“九板一图”；</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承包人负责施工场地的用地安排协调管理工作，根据安全生产及文明施工规定的具体要求向专业承包人及专业分包人详细交底及部署，各专业承包人及专业分包人应协助总承包人对各自施工区域的场地做好管理配合工作，总承包人根据各专业承包工程具体情况统一划分施工场地安排；</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总承包人按主要施工机械进场安装及拆卸退场计划结合平面布置进行综合管理。</w:t>
      </w:r>
    </w:p>
    <w:p>
      <w:pPr>
        <w:tabs>
          <w:tab w:val="left" w:pos="1080"/>
          <w:tab w:val="left" w:pos="2160"/>
          <w:tab w:val="left" w:pos="2700"/>
        </w:tabs>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(6)总承包在永久通风设备、管道投入运行之前，需采用自然补风、机械排风等方式，对地下室进行通风排湿。机械换气量至少达到每小时换气两次。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8.2.5</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施工现场公共厕所、办公区管理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总承包人有义务在施工现场设置合适数量的公共厕所，公共厕所的布置必须能满足施工和办公的方便（在施工的楼层之间不少于每隔3层也应合理设置相关的公共厕所，并敷设排污管、给水管及简易照明），并严格按照有关文明施工管理规定和卫生要求派专人清扫整理，保持现场清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(2)专业承包人及专业分包人现场办公区用房、其它设施等由总承包人、专业承包人及专业分包人协商解决，水电线路接驳点由总包人提供。</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 施工现场禁止设置生活区，但总承包人有义务在施工场地外自行设置生活区并按规定进行安全文明管理。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 施工现场实行封闭管理，办公区与施工区分开管理。</w:t>
      </w:r>
    </w:p>
    <w:p>
      <w:pPr>
        <w:numPr>
          <w:ilvl w:val="3"/>
          <w:numId w:val="0"/>
        </w:numPr>
        <w:tabs>
          <w:tab w:val="left" w:pos="2160"/>
          <w:tab w:val="left" w:pos="2700"/>
          <w:tab w:val="left" w:pos="3780"/>
        </w:tabs>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（5）总承办人需定期安排施工场地灭蚊工作。</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8.3人员管理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各专业承包人及专业分包人必须对进场所有施工人员进行严格的管理。各专业承包人及专业分包人必须对本单位所有进场施工人员进行登记，各自统一着装，及时上报总承包人，进行汇总并统一管理。流动人口必须持有“三证”；施工过程中发生人员流动的，必须及时更改登记记录，并将更改记录及时上报总承包人，由总承包人报知监理工程师和发包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各专业承包人及专业分包人必须以班组为单位在进场后3天内以及每月定期进行安全技术交底，并对交底情况进行书面记录，并由交底人签名确认。</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各专业承包人及专业分包人必须对进场所属施工人员办理劳动保险等，并将有关资料报总承包人，并向进场施工人员提供符合《建筑施工安全检查标准》、《</w:t>
      </w:r>
      <w:r>
        <w:rPr>
          <w:rFonts w:hint="eastAsia" w:ascii="仿宋" w:hAnsi="仿宋" w:eastAsia="仿宋"/>
          <w:color w:val="000000" w:themeColor="text1"/>
          <w:szCs w:val="21"/>
          <w:highlight w:val="none"/>
          <w:u w:val="single"/>
          <w14:textFill>
            <w14:solidFill>
              <w14:schemeClr w14:val="tx1"/>
            </w14:solidFill>
          </w14:textFill>
        </w:rPr>
        <w:t>广州市建设工程现场文明施工管理办法》和广东省、广州市现行安全管理办法（如广州市建筑工程安全生产文明施工量化管理（暂行）办法）</w:t>
      </w:r>
      <w:r>
        <w:rPr>
          <w:rFonts w:hint="eastAsia" w:ascii="仿宋" w:hAnsi="仿宋" w:eastAsia="仿宋"/>
          <w:color w:val="000000" w:themeColor="text1"/>
          <w:szCs w:val="21"/>
          <w:highlight w:val="none"/>
          <w14:textFill>
            <w14:solidFill>
              <w14:schemeClr w14:val="tx1"/>
            </w14:solidFill>
          </w14:textFill>
        </w:rPr>
        <w:t>规定的食宿、生活和施工环境及条件。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各专业承包人及专业分包人必须对所属进场施工人员进行全天候管理。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8.3.5</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为了便于人员管理，正确识别其所属单位和身份，特制订如下制定: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(1)工号识别制定：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各专业承包人及专业分包人进场后在2天内向总承包人提交有关人员资料，内容包括公司标志的样本、所有人员的名单及初始工号，总承包人根据各专业承包人及专业分包人人员的初始工号进行统一编号。总承包人对自身人员及专业承包人及专业分包人人员进行统一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(2)工作牌制定：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建立工作牌制定，统一管理。进入现场的所有施工人员及施工管理人员必须佩带工作牌。工作牌内容包括姓名、本人近期免冠照片、所属单位、所属班组、职务、工号、工种等。总承包人通过佩带工作牌制度对全体施工人员及施工管理人员进行检查、监督和管理，对违反佩带工作牌制度和其它管理制度人员的立即做出登记，并定期汇总上报监理工程师及发包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(3)安全帽识别制定：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总承包人及各专业承包人及专业分包人的施工管理人员与施工人员佩戴不同颜色的安全帽，安全帽正面粘贴其所属单位的标志。</w:t>
      </w:r>
    </w:p>
    <w:p>
      <w:pPr>
        <w:spacing w:line="360" w:lineRule="auto"/>
        <w:ind w:firstLine="422" w:firstLineChars="200"/>
        <w:jc w:val="left"/>
        <w:rPr>
          <w:rFonts w:ascii="仿宋" w:hAnsi="仿宋" w:eastAsia="仿宋"/>
          <w:b/>
          <w:bCs/>
          <w:color w:val="000000" w:themeColor="text1"/>
          <w:szCs w:val="21"/>
          <w:highlight w:val="none"/>
          <w14:textFill>
            <w14:solidFill>
              <w14:schemeClr w14:val="tx1"/>
            </w14:solidFill>
          </w14:textFill>
        </w:rPr>
      </w:pPr>
      <w:r>
        <w:rPr>
          <w:rFonts w:hint="eastAsia" w:ascii="仿宋" w:hAnsi="仿宋" w:eastAsia="仿宋"/>
          <w:b/>
          <w:bCs/>
          <w:color w:val="000000" w:themeColor="text1"/>
          <w:szCs w:val="21"/>
          <w:highlight w:val="none"/>
          <w14:textFill>
            <w14:solidFill>
              <w14:schemeClr w14:val="tx1"/>
            </w14:solidFill>
          </w14:textFill>
        </w:rPr>
        <w:t>（4）IC卡/平安卡管理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总承包人必须根据现场管理要求，在出入口设置IC卡/平安卡刷卡机，对所有进出现场人员实施IC卡/平安卡管理。保证所有人员进出现场都有准确记录。现场人员信息必须进行录入，并由总承包人统一管理。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8.4主要施工机械设备管理：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8.4.1总承包人应对进入所现场的施工机械设备进行统一的管理。所有进入现场的施工机械设备都必须服从总承包人的协调管理。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8.4.2施工机具设备的进退场和使用必须遵循：</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(1)各专业承包人及专业分包人所有进场的施工机械设备必须提前向总承包人提出申报，并在进场时做好登记报总承包人。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(2)凡是没有进场登记的施工机械设备一律拒绝进场。总承包人有义务定期进行检查，杜绝出现施工机械设备未做登记的现象。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(3)总承包人及相应专业承包人及专业分包人有义务确保现场使用的施工机械设备符合有关施工机具安全操作规程及安全用电要求，施工机械设备不得带病作业。</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(4)总承包人应及时对进入现场的所有施工机械设备进行检查，对检查中发现的不符合要求的施工机械设备必须立即停止使用，并在24小时内出场外。</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(5)总承包人及有关专业承包人及专业分包人必须严格按照有关规定施工机械用电的管理，总承包人有义务对专业承包人及专业分包人进行安全用电的交底，并所负责标段现场的用电情况进行检查进取检查和管理。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(6)大型施工机械所属单位应设立专职机械调度员负责对大型施工机械的统一调配，总承包人有义务进行跟踪管理监督。</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(7)各专业承包人及专业分包人必须对所属进场的全部施工机械设备进行全天候管理，严禁施工机械设备未经总承包人及监理工程师批准擅自进入其它标段或公共区域。</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8.5关键区域出入管理：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8.5.1当施工现场的某些区域（关键区域）施工到一定程度（如设备安装阶段）时，在征得监理工程师和发包人批准后，总承包人有权在工程监理的统一安排下对进入关键区域的施工人员进行限制，即根据施工需要，确定可以进入该区域的总承包人人员、专业承包人及专业分包人及数量。总承包人在需要执行关键区域出入管理前10天内，书面通知各有关专业承包人及专业分包人，并上报监理工程师和发包人；各专业承包人及专业分包人在接到书面通知后3天内向总承包人递交进入关键区域申请表，确定进入关键区域施工及管理人员的数量，由总承包人制作进入关键区域的特别通行证。总承包人派驻专人在指定入口验证放行。在专业承包人及专业分包人的工作完成并通过有关单验收后，各专业承包人及专业分包人将特别通行证退回。</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8.5.2由于总承包人关键区域出入管理不力导致出现质量问题、返工、或影响关键节点工期的，总承包人承担责任。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8.6来客管理：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8.6.1总承包人及各专业承包人及专业分包人的来访客人（指定在本工地工作的人员）必须办理来客登记手续才能进入现场：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(1)来客向门卫递交有效证件并办理必要的来访登记；</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(2)由门卫向来客发给临时出入证；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(3)来客离场时凭临时出入证领取有效证件。如客人丢失临时出入证，由被访人所在单位向门卫办理丢失临时出入证登记手续。</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8.6.2总承包人应聘请专业保安单位负责治安保卫和门卫管理工作，负责来访登记管理，以及负责制作临时出入证。</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8.6.3总承包人应为来客提供工地安全教育及安全设施。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8.6.4总承包人有为前来检查的相关政府机构工作人员、发包人委托的第三方监测人员等提供接待的义务，并有义务为其工作开展提供相关安全便利的条件。</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8.7车辆出入管理：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为保证现场的施工秩序，对所有进入施工现场的施工车辆，实施车辆出入管理制度，由总承包人统一进行管理。</w:t>
      </w:r>
    </w:p>
    <w:p>
      <w:pPr>
        <w:numPr>
          <w:ilvl w:val="2"/>
          <w:numId w:val="10"/>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大型车辆及长派小型车辆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对进入施工现场的大型车辆及长派小型车辆（包括总承包人及专业承包人及专业分包人的车辆）进行统一管理，制作车辆出入证。大型车辆是指5T以上载重汽车、轮胎或履带工吊车等大型施工机械。专业承包人及专业分包人必须提前3天向总承包人提出大型车辆和长派小型车辆进出申请，注明车辆型号、拍照号码、进场日期及时间，经总承包人批准后，发给车辆出入证。车辆到达现场大门入口处必须出示有效的出入证才可进场。根据各单位登记车辆情况合理安排各单位车辆的停放位置，杜绝出项现场车辆乱停乱放阻碍施工的现象。</w:t>
      </w:r>
    </w:p>
    <w:p>
      <w:pPr>
        <w:numPr>
          <w:ilvl w:val="2"/>
          <w:numId w:val="10"/>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非长派小型车辆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总承包人及各专业承包人及专业分包人的非长派小型车辆进入现场实行登记制度。车辆进入现场时在门卫处登记所属单位名称、车牌号、进场时间、大约停止时间后，方可进入施工现场。</w:t>
      </w:r>
    </w:p>
    <w:p>
      <w:pPr>
        <w:numPr>
          <w:ilvl w:val="2"/>
          <w:numId w:val="10"/>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发包人、监理工程师、设计单位等车辆凭有效证件进入现场。</w:t>
      </w:r>
    </w:p>
    <w:p>
      <w:pPr>
        <w:numPr>
          <w:ilvl w:val="2"/>
          <w:numId w:val="10"/>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总承包人对运出现场的材料进行严格的管理。所有材料，如无总承包人或监理工程师签字并加盖公章，书面同意外运的，不得运离现场。</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8.8现场广告、标语、条幅的管理：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为保持良好的现场施工次序和整体形象，现场广告、标语、条幅的内容、设置、张贴和悬挂必须服从发包人及监理工程师的统一管理和协调。</w:t>
      </w:r>
    </w:p>
    <w:p>
      <w:pPr>
        <w:numPr>
          <w:ilvl w:val="2"/>
          <w:numId w:val="11"/>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统一策划制度</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总承包人应统一策划管理现场设置和各类非商业宣传性标牌、条幅，如现场导向牌、安全施工标志牌、各类标语等。要求统一字体、样式、规格和设置。</w:t>
      </w:r>
    </w:p>
    <w:p>
      <w:pPr>
        <w:numPr>
          <w:ilvl w:val="2"/>
          <w:numId w:val="11"/>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实行申请制度</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（1）各专业承包人及专业分包人安全标志牌费用由相应单位负责，由专业承包人及专业分包人根据自身需要提前15天向总承包人提出申请。</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2）总承包人、各专业承包人及专业分包人、以及其它单位要求在现场悬挂、设置的各类带有商业宣传性质的广告、标语、条幅，须提前15个工作日向总承包人提出书面申请，说明广告、标语、条幅的规格、样式、内容、悬挂位置和时间。</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（3）总承包人应对现场各类带有商业宣传性质的广告、条幅、标语设置意见应提前7个工作日包监理工程师和发包人，经审批同意后方可实施。</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（4）需要在现场设置的各类带有商业宣传性质的广告、条幅、标语等必须按监理工程师和发包人书面允许方可实施，否则监理工程师和发包人将按有关规定限期拆除，并可视情况进一步处理。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8.9</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当地协调：</w:t>
      </w:r>
    </w:p>
    <w:p>
      <w:pPr>
        <w:numPr>
          <w:ilvl w:val="2"/>
          <w:numId w:val="12"/>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总承包人有义务协调好当地地方政府与人员的关系，确保工程质量、进度和组织管理等不受当地外来因素的干扰。</w:t>
      </w:r>
    </w:p>
    <w:p>
      <w:pPr>
        <w:numPr>
          <w:ilvl w:val="2"/>
          <w:numId w:val="12"/>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因总承包人协调工作不力导致工程建设实际受到当地外来因素影响的，发包人有权部分或全部扣除其地方协调费。</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9</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施工进度计划与工期管理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施工进度计划</w:t>
      </w:r>
    </w:p>
    <w:p>
      <w:pPr>
        <w:numPr>
          <w:ilvl w:val="2"/>
          <w:numId w:val="13"/>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要求各专业承包人及专业分包人提交专业承包工程的各类施工进度计划，并统筹审核各专业承包工程的进度计划，有义务通过组织协调有效解决不同专业承包工程不同施工交叉作业的配合施工问题，确保各专业承包程施工进度能按照工程总进度计划实施。</w:t>
      </w:r>
    </w:p>
    <w:p>
      <w:pPr>
        <w:numPr>
          <w:ilvl w:val="2"/>
          <w:numId w:val="13"/>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专业承包人及专业分包人有义务接受总承包人对进度计划进行调整的意见，并按照调整意见落实现场劳动力、材料、施工机械等的供应配合情况。</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暂停施工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因专业承包人及专业分包人原因造成总承包人项目停工的，总承包人承担责任，工期不予顺延。总承包人可按分包合同向专业承包人及专业分包人追讨损失。</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工程竣工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督促专业承包人及专业分包人按计划办理工程竣工，并对专业承包人及专业分包人竣工予以积极的配合，因总承包人未能及时提供必要的配合工作而导致专业承包工程不能按计划办理工程竣工的，总承包人承担主要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9.4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工期管理</w:t>
      </w:r>
    </w:p>
    <w:p>
      <w:pPr>
        <w:numPr>
          <w:ilvl w:val="2"/>
          <w:numId w:val="14"/>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总承包人应根据发包人提供的本项目总体控制目标及各关键节点工期要求编制总进度实施计划。总承包人对本项目的进度实行统一管理(含总承包人施工及总包管理的项目)，并重点对关键节点工期进行控制。</w:t>
      </w:r>
    </w:p>
    <w:p>
      <w:pPr>
        <w:numPr>
          <w:ilvl w:val="2"/>
          <w:numId w:val="14"/>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审核各专业承包工程施工进度计划，并有义务根据工程总进度计划调整各专业承包工程的进度计划和施工配合，确保各专业承包工程能按照主体工程的关键节点工期按计划完成，并按发包人规定的竣工日期办理工程竣工验收。</w:t>
      </w:r>
    </w:p>
    <w:p>
      <w:pPr>
        <w:numPr>
          <w:ilvl w:val="2"/>
          <w:numId w:val="14"/>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对各专业承包工程的施工提供必要的协助，以确保专业承包工程能按经审定的进度计划执行。同时总承包人有义务对专业承包工程进行监督管理，纠正进度负偏差，协调专业承包人及专业分包人之间的关系，保证主体工程与各专业承包工程之间能协调推进。因总承包人未能对专业承包工程提供必要的配合，以及未能有效管理专业承包人及专业分包人工程进度的，并由此造成主体工程或专业承包工程关键节点施工进度有所滞后的，总承包人承担全部责任。</w:t>
      </w:r>
    </w:p>
    <w:p>
      <w:pPr>
        <w:numPr>
          <w:ilvl w:val="2"/>
          <w:numId w:val="14"/>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总承包人通过组织协调，有效解决不同专业工程、不同工序交叉作业的配合问题，确保各施工进度能按照总进度实施计划实施。</w:t>
      </w:r>
    </w:p>
    <w:p>
      <w:pPr>
        <w:spacing w:before="72" w:beforeLines="30" w:after="72" w:afterLines="30" w:line="360" w:lineRule="auto"/>
        <w:ind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10</w:t>
      </w:r>
      <w:r>
        <w:rPr>
          <w:rFonts w:hint="eastAsia" w:ascii="仿宋" w:hAnsi="仿宋" w:eastAsia="仿宋"/>
          <w:b/>
          <w:bCs/>
          <w:color w:val="000000" w:themeColor="text1"/>
          <w:sz w:val="24"/>
          <w:szCs w:val="24"/>
          <w:highlight w:val="none"/>
          <w14:textFill>
            <w14:solidFill>
              <w14:schemeClr w14:val="tx1"/>
            </w14:solidFill>
          </w14:textFill>
        </w:rPr>
        <w:tab/>
      </w:r>
      <w:r>
        <w:rPr>
          <w:rFonts w:hint="eastAsia" w:ascii="仿宋" w:hAnsi="仿宋" w:eastAsia="仿宋"/>
          <w:b/>
          <w:bCs/>
          <w:color w:val="000000" w:themeColor="text1"/>
          <w:sz w:val="24"/>
          <w:szCs w:val="24"/>
          <w:highlight w:val="none"/>
          <w14:textFill>
            <w14:solidFill>
              <w14:schemeClr w14:val="tx1"/>
            </w14:solidFill>
          </w14:textFill>
        </w:rPr>
        <w:t>质量与检验</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工程质量</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专业承包工程质量达不到约定质量标准总承包人承担连带责任。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检查和返工</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因专业承包人及专业分包人达不到约定标准的，由责任方承担拆除和重新施工的费用，承担质量违约责任，工期不予顺延，有总承包人管理不力的，总承包人承担责任。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隐蔽工程和中间验收</w:t>
      </w:r>
    </w:p>
    <w:p>
      <w:pPr>
        <w:numPr>
          <w:ilvl w:val="2"/>
          <w:numId w:val="15"/>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工程具备隐蔽条件或属于“穗建监字[2001]068号”文规定的中间验收部位，专业承包人及专业分包人必须先进行自检，自检合格后由总承包人在隐蔽或中间验收前24个小时以书面形式通知监理工程师验收，通知应包括隐蔽和中间的内容、验收时间和地点。监理工程师在验收记录上签字后，专业承包人及专业分包人方可进行隐蔽和继续施工。验收不合格的，专业承包人及专业分包人必须在24个小时内或监理工程师限定的时间内修改后重新验收。</w:t>
      </w:r>
    </w:p>
    <w:p>
      <w:pPr>
        <w:numPr>
          <w:ilvl w:val="2"/>
          <w:numId w:val="15"/>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总承包人应对专业承包工程的隐蔽及中间验收工作创造便利条件，并提供足够的配合。</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10.4</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工程试车</w:t>
      </w:r>
    </w:p>
    <w:p>
      <w:pPr>
        <w:numPr>
          <w:ilvl w:val="2"/>
          <w:numId w:val="16"/>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设备安装工程具备单机无负荷试车条件，由专业承包人及专业分包人组织试车；属总包施工项目范围内的，由总承包人组织；属总包管理项目范围的，由专业承包人及专业分包人组织。</w:t>
      </w:r>
    </w:p>
    <w:p>
      <w:pPr>
        <w:numPr>
          <w:ilvl w:val="2"/>
          <w:numId w:val="16"/>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设备安装工程具备无负荷联动试车条件，由总承包人组织、监理工程师、发包人参加试车，总承包人在试车前24小时内以书面形式通知监理工程师和参加试车的有关单位。</w:t>
      </w:r>
    </w:p>
    <w:p>
      <w:pPr>
        <w:numPr>
          <w:ilvl w:val="2"/>
          <w:numId w:val="16"/>
        </w:numPr>
        <w:tabs>
          <w:tab w:val="clear" w:pos="1571"/>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工程试车，属总包施工项目范围内的，由总承包人负责试车费用；属总包管理项目范围的，由专业承包人及专业分包人负责试车费用，总承包人应予以配合服务。</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10.5</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保修管理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对各专业承包工程的保修工作进行协调和管理，总包管理项目完工后及时督促相关专业承包人及专业分包人在保修期内做好保修工作。专业承包人及专业分包人无及时做好保修工作，且存在总承包人管理不力原因的，总承包人承担法定的连带责任。</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文明施工和安全生产管理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11.1</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安全生产与检查</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总承包人有义务对所负责标段内全部文明施工和安全生产进行全面的管理。进行详细交底及部署。</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专业承包人及专业分包人应严格做好所负责工程的安全生产工作，并自觉接受总承包人的检查，并按照其提出的意见进行整改。</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11.2</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 xml:space="preserve">事故处理 </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工程发生重大伤亡及其它安全事故的，专业承包人及专业分包人必须立即通知总承包人，总承包人必须立即按有关规定上报监理工程师、发包人及有关部门，同时按政府有关部门要求处理。对于专业承包工程发生重大伤亡及其它安全事故，由专业承包人及专业分包人承担主要责任，总承包人承担法定的连带责任；属自主分包工程的，由总承包人承担责任。</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11.3</w:t>
      </w:r>
      <w:r>
        <w:rPr>
          <w:rFonts w:hint="eastAsia" w:ascii="仿宋" w:hAnsi="仿宋" w:eastAsia="仿宋"/>
          <w:color w:val="000000" w:themeColor="text1"/>
          <w:szCs w:val="21"/>
          <w:highlight w:val="none"/>
          <w14:textFill>
            <w14:solidFill>
              <w14:schemeClr w14:val="tx1"/>
            </w14:solidFill>
          </w14:textFill>
        </w:rPr>
        <w:tab/>
      </w:r>
      <w:r>
        <w:rPr>
          <w:rFonts w:hint="eastAsia" w:ascii="仿宋" w:hAnsi="仿宋" w:eastAsia="仿宋"/>
          <w:color w:val="000000" w:themeColor="text1"/>
          <w:szCs w:val="21"/>
          <w:highlight w:val="none"/>
          <w14:textFill>
            <w14:solidFill>
              <w14:schemeClr w14:val="tx1"/>
            </w14:solidFill>
          </w14:textFill>
        </w:rPr>
        <w:t>统一实施场地的场容场貌和施工保洁管理。</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竣工验收与结算管理</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竣工验收</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各专业承包人及专业分包人必须负责施工工程竣工图的编制管理工作。总承包人有责任根据竣工图验收要求对专业承包人及专业分包人所绘制的竣工图进行符合性审查。</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包管理项目属于专业工程需单独验收的，经总承包人预验合格后，再报监理工程师进行监理预验，合格后由该专业承包人及专业分包人与专业工程验收管理部门、监理工程师、发包人协商确定验收时间，并及时通知总承包人参与验收。</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总包管理项目不需要办理单独验收的，经总承包人预验合格后，上报监理工程师，由监理工程师预验合格后，专业承包人及专业分包人、总承包人、监理工程师和发包人协商验收。</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总承包人必须对各专业承包工程的预验收、验收给予积极的配合加具有关意见。</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总承包人在所有总包施工项目及总包管理项目（预）验收完成后，认为满足工程竣工验收条件时，方可向监理工程师提出预验收通知。</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办理工程预验及验收前，各专业承包人及专业分包人应将准备验收工程的场地清理干净；主体工程竣工验收后合格后10天内，总承包人和发包人签署工程交接验收证明文件，并再次对场地进行检查，确保场地已清理干净，并将工程移交发包人管理。</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竣工档案管理</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有义务对总包施工及总包管理工程的工程资料按照国家《城市建设档案管理规定》、《广州市城市建设档案管理办法》、《广东省建筑工程竣工验收技术资料统一用表》和发包人的具体要求等进行收集、整理、编制、汇总和管理。</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指导专业承包人及专业分包人整理工程资料，使其满足档案接收要求。</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专业承包人及专业分包人对其施工的专业承包工程负有具体收集、整理、编制、汇总档案资料的义务，并保证所提供的档案资料是齐全完备和有效的，需要时总承包人亦要签名盖章。</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督促专业承包人及专业分包人在完成专业承包工程竣工验收前7天内，完成工程档案资料的汇总，并上报总承包人，总承包人有义务对该资料的完备性、有效性进行检查，对不符合要求的资料，要求专业承包人及专业分包人限期进行整改。整改后再上报总承包人。</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竣工图纸由总承包人、专业承包人及专业分包人根据设计院提供的施工图纸电子文件、竣工资料进行绘制，并须经设计单位审核、签署。</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办理竣工备案手续</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在规定时间内应收集所有竣工备案资料，对不属于施工总承包管理直接提的其它供单位的资料，有责任进行跟踪、督促、协调，及时向发包人反馈收集和协调情况。收集齐所有竣工备案资料后，负责按规定向有关部门提交竣工备案资料，并向发包人反馈备案办理进度。</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总承包人于工程竣工验收后按广州市建设工程档案管理与移交办法向发包人完整移交档案。</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竣工结算管理</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总包管理项目竣工结算报告由专业承包人及专业分包人具体编制，在总包管理项目完成竣工验收后28天内，督促专业承包人及专业分包人收集完整的竣工结算资料。</w:t>
      </w:r>
    </w:p>
    <w:p>
      <w:pPr>
        <w:numPr>
          <w:ilvl w:val="2"/>
          <w:numId w:val="17"/>
        </w:numPr>
        <w:tabs>
          <w:tab w:val="clear" w:pos="1418"/>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在测量师、发包人审核工程结算期间，总承包人、专业承包人及专业分包人必须按照要求提供积极的配合协助，并按要求及时提供相关资料。</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产品保护或照管</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总承包人承担本项目总体产品保护或照管责任（规定由专业承包人及专业分包人负责的除外）。</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管理工序交接工作，移交产品保护责任。对土建产品的保护向专业承包人及专业分包人进行交底。</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在专业工程施工过程中，根据工程性质需分阶段施工和移交工程施工总承包管理单位照管时，专业承包人及专业分包人应报监理工程师批准，批准后的分阶段施工工程即为中间验收工程。对每个中间验收工程，监理工程师组织发包人、设计单位、总承包单位和专业承包人及专业分包人进行质量验收评定。若验收合格，则移交给总承包管理单位负责照管，时间至专业工程安装单位下次开始施工时止；若不合格，则专业单位应按规定的时间内返修或更换材料后再验收。在总承包单位负责照管的期限内，总承包单位应对这些中间验收工程做好保护工作。而在专业承包人及专业分包人继续进行施工后，总承包单位对已进行中间验收的工程不负责照管，其照管责任移交至专业承包人及专业分包人。</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已竣工验收的专业工程的照管：从专业工程竣工验收合格并办理移交总承包人手续起，直至整个工程竣工验收合格移交给发包人之日止，总承包人应按照合同约定对移交给施工总承包人的专业工程的成品负责照管。但对那些已办理中间移交手续并交付发包人的工程，办理移交手续之日起，照管责任已移交给了发包人。</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如果在总承包单位负责的照管期内，由于不可抗力以外的原因导致总承包单位照管工程的任何部分损失或损坏，由总承包单位负责修补，赔偿经济赔偿责任，并通过修补使该工程或设备质量达到该专业合同的有关规定和要求。</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设计配合</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根据总承包施工的需要，从施工角度参与不同专业间的综合图纸会审，如土建和机电、机电和弱电、机电和精装修、土建和幕墙、幕墙和精装修等，发现各专业图纸间的有关配合、协调等问题，并提出解决方案。</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参加各专业工程的图纸会审，提出有关建议。</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审查承包范围内各专业工程的施工组织设计，对各专业工程施工组织设计不满足项目总体进度、场地安排、安全和文明施工等方面，和专业承包人及专业分包人进行沟通和协商，督促其进行调整。</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及时掌握每个专业工程的变更情况，并从总承包管理方面分析与其它有关方面的变化情况，若对项目总进度，或其它专业质量或造价方面出现影响，及时提出建议方案报监理工程师或发包人批准后实施工。</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当发包人提出要求时，对于发包人提出的设计变更研究，提出相应的承包人案供发包人变更决策参考。</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当发包人提出要求时，对于发包人组织的设计变更研究，从施工可行性，总承包管理等方面提出建议供发包人决策。</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根据预留、预埋需要编制相关预留预埋图，根据施工工艺需要编制相关节点大样图，根据现场管线布置需要编制综合布线图。由承包商编制图纸需要经过发包人确认后才能进行施工。</w:t>
      </w:r>
    </w:p>
    <w:p>
      <w:pPr>
        <w:numPr>
          <w:ilvl w:val="0"/>
          <w:numId w:val="17"/>
        </w:numPr>
        <w:spacing w:before="72" w:beforeLines="30" w:after="72" w:afterLines="30" w:line="360" w:lineRule="auto"/>
        <w:ind w:left="0" w:firstLine="482" w:firstLineChars="200"/>
        <w:jc w:val="left"/>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 w:val="24"/>
          <w:szCs w:val="24"/>
          <w:highlight w:val="none"/>
          <w14:textFill>
            <w14:solidFill>
              <w14:schemeClr w14:val="tx1"/>
            </w14:solidFill>
          </w14:textFill>
        </w:rPr>
        <w:t xml:space="preserve"> 合同管理</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 xml:space="preserve"> 分包管理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对于可合法分包工程由承包人按照有关规定合规合法分别选定分包人，并与其签订分包合同，分包合同必须送发包人、监理工程师备案。</w:t>
      </w:r>
    </w:p>
    <w:p>
      <w:pPr>
        <w:numPr>
          <w:ilvl w:val="1"/>
          <w:numId w:val="17"/>
        </w:numPr>
        <w:tabs>
          <w:tab w:val="clear" w:pos="1247"/>
        </w:tabs>
        <w:spacing w:line="360" w:lineRule="auto"/>
        <w:ind w:left="0"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甲控乙供材料买卖合同管理</w:t>
      </w:r>
    </w:p>
    <w:p>
      <w:pPr>
        <w:spacing w:line="360" w:lineRule="auto"/>
        <w:ind w:firstLine="420" w:firstLineChars="200"/>
        <w:jc w:val="left"/>
        <w:rPr>
          <w:rFonts w:ascii="仿宋" w:hAnsi="仿宋" w:eastAsia="仿宋"/>
          <w:color w:val="000000" w:themeColor="text1"/>
          <w:szCs w:val="21"/>
          <w:highlight w:val="none"/>
          <w14:textFill>
            <w14:solidFill>
              <w14:schemeClr w14:val="tx1"/>
            </w14:solidFill>
          </w14:textFill>
        </w:rPr>
      </w:pPr>
      <w:r>
        <w:rPr>
          <w:rFonts w:hint="eastAsia" w:ascii="仿宋" w:hAnsi="仿宋" w:eastAsia="仿宋"/>
          <w:color w:val="000000" w:themeColor="text1"/>
          <w:szCs w:val="21"/>
          <w:highlight w:val="none"/>
          <w14:textFill>
            <w14:solidFill>
              <w14:schemeClr w14:val="tx1"/>
            </w14:solidFill>
          </w14:textFill>
        </w:rPr>
        <w:t>承包人与中标的专项供应商根据材料采购招标文件、合同条件及本办法的要求，与专项供应商签订具体材料买卖合同。材料买卖合同必须送发包人、监理工程师备案。</w:t>
      </w:r>
    </w:p>
    <w:p>
      <w:pPr>
        <w:spacing w:line="360" w:lineRule="auto"/>
        <w:jc w:val="center"/>
        <w:rPr>
          <w:rFonts w:ascii="仿宋" w:hAnsi="仿宋" w:eastAsia="仿宋"/>
          <w:b/>
          <w:bCs/>
          <w:color w:val="000000" w:themeColor="text1"/>
          <w:kern w:val="0"/>
          <w:sz w:val="24"/>
          <w:szCs w:val="24"/>
          <w:highlight w:val="none"/>
          <w14:textFill>
            <w14:solidFill>
              <w14:schemeClr w14:val="tx1"/>
            </w14:solidFill>
          </w14:textFill>
        </w:rPr>
      </w:pPr>
      <w:r>
        <w:rPr>
          <w:rFonts w:hint="eastAsia" w:ascii="仿宋" w:hAnsi="仿宋" w:eastAsia="仿宋"/>
          <w:b/>
          <w:bCs/>
          <w:color w:val="000000" w:themeColor="text1"/>
          <w:kern w:val="0"/>
          <w:sz w:val="24"/>
          <w:szCs w:val="24"/>
          <w:highlight w:val="none"/>
          <w14:textFill>
            <w14:solidFill>
              <w14:schemeClr w14:val="tx1"/>
            </w14:solidFill>
          </w14:textFill>
        </w:rPr>
        <w:t>第二部分  配合服务工作内容</w:t>
      </w:r>
    </w:p>
    <w:p>
      <w:pPr>
        <w:spacing w:line="360" w:lineRule="auto"/>
        <w:rPr>
          <w:rFonts w:ascii="仿宋" w:hAnsi="仿宋" w:eastAsia="仿宋"/>
          <w:b/>
          <w:bCs/>
          <w:color w:val="000000" w:themeColor="text1"/>
          <w:sz w:val="24"/>
          <w:szCs w:val="24"/>
          <w:highlight w:val="none"/>
          <w14:textFill>
            <w14:solidFill>
              <w14:schemeClr w14:val="tx1"/>
            </w14:solidFill>
          </w14:textFill>
        </w:rPr>
      </w:pPr>
      <w:r>
        <w:rPr>
          <w:rFonts w:hint="eastAsia" w:ascii="仿宋" w:hAnsi="仿宋" w:eastAsia="仿宋"/>
          <w:b/>
          <w:bCs/>
          <w:color w:val="000000" w:themeColor="text1"/>
          <w:szCs w:val="21"/>
          <w:highlight w:val="none"/>
          <w14:textFill>
            <w14:solidFill>
              <w14:schemeClr w14:val="tx1"/>
            </w14:solidFill>
          </w14:textFill>
        </w:rPr>
        <w:t xml:space="preserve"> </w:t>
      </w:r>
      <w:r>
        <w:rPr>
          <w:rFonts w:hint="eastAsia" w:ascii="仿宋" w:hAnsi="仿宋" w:eastAsia="仿宋"/>
          <w:b/>
          <w:bCs/>
          <w:color w:val="000000" w:themeColor="text1"/>
          <w:sz w:val="24"/>
          <w:szCs w:val="24"/>
          <w:highlight w:val="none"/>
          <w14:textFill>
            <w14:solidFill>
              <w14:schemeClr w14:val="tx1"/>
            </w14:solidFill>
          </w14:textFill>
        </w:rPr>
        <w:t xml:space="preserve"> 统一配合内容</w:t>
      </w:r>
    </w:p>
    <w:p>
      <w:pPr>
        <w:autoSpaceDE w:val="0"/>
        <w:autoSpaceDN w:val="0"/>
        <w:adjustRightInd w:val="0"/>
        <w:spacing w:line="360" w:lineRule="auto"/>
        <w:ind w:firstLine="428" w:firstLineChars="200"/>
        <w:jc w:val="left"/>
        <w:rPr>
          <w:rFonts w:ascii="仿宋" w:hAnsi="仿宋" w:eastAsia="仿宋" w:cs="Arial Unicode MS"/>
          <w:color w:val="000000" w:themeColor="text1"/>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1.1</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向专业承包人及专业分包人</w:t>
      </w:r>
      <w:r>
        <w:rPr>
          <w:rFonts w:hint="eastAsia" w:ascii="仿宋" w:hAnsi="仿宋" w:eastAsia="仿宋" w:cs="Arial Unicode MS"/>
          <w:color w:val="000000" w:themeColor="text1"/>
          <w:kern w:val="0"/>
          <w:szCs w:val="21"/>
          <w:highlight w:val="none"/>
          <w14:textFill>
            <w14:solidFill>
              <w14:schemeClr w14:val="tx1"/>
            </w14:solidFill>
          </w14:textFill>
        </w:rPr>
        <w:t>提</w:t>
      </w:r>
      <w:r>
        <w:rPr>
          <w:rFonts w:hint="eastAsia" w:ascii="仿宋" w:hAnsi="仿宋" w:eastAsia="仿宋" w:cs="Arial Unicode MS"/>
          <w:color w:val="000000" w:themeColor="text1"/>
          <w:spacing w:val="2"/>
          <w:kern w:val="0"/>
          <w:szCs w:val="21"/>
          <w:highlight w:val="none"/>
          <w14:textFill>
            <w14:solidFill>
              <w14:schemeClr w14:val="tx1"/>
            </w14:solidFill>
          </w14:textFill>
        </w:rPr>
        <w:t>供相</w:t>
      </w:r>
      <w:r>
        <w:rPr>
          <w:rFonts w:hint="eastAsia" w:ascii="仿宋" w:hAnsi="仿宋" w:eastAsia="仿宋" w:cs="Arial Unicode MS"/>
          <w:color w:val="000000" w:themeColor="text1"/>
          <w:kern w:val="0"/>
          <w:szCs w:val="21"/>
          <w:highlight w:val="none"/>
          <w14:textFill>
            <w14:solidFill>
              <w14:schemeClr w14:val="tx1"/>
            </w14:solidFill>
          </w14:textFill>
        </w:rPr>
        <w:t>应</w:t>
      </w:r>
      <w:r>
        <w:rPr>
          <w:rFonts w:hint="eastAsia" w:ascii="仿宋" w:hAnsi="仿宋" w:eastAsia="仿宋" w:cs="Arial Unicode MS"/>
          <w:color w:val="000000" w:themeColor="text1"/>
          <w:spacing w:val="2"/>
          <w:kern w:val="0"/>
          <w:szCs w:val="21"/>
          <w:highlight w:val="none"/>
          <w14:textFill>
            <w14:solidFill>
              <w14:schemeClr w14:val="tx1"/>
            </w14:solidFill>
          </w14:textFill>
        </w:rPr>
        <w:t>的</w:t>
      </w:r>
      <w:r>
        <w:rPr>
          <w:rFonts w:hint="eastAsia" w:ascii="仿宋" w:hAnsi="仿宋" w:eastAsia="仿宋" w:cs="Arial Unicode MS"/>
          <w:color w:val="000000" w:themeColor="text1"/>
          <w:kern w:val="0"/>
          <w:szCs w:val="21"/>
          <w:highlight w:val="none"/>
          <w14:textFill>
            <w14:solidFill>
              <w14:schemeClr w14:val="tx1"/>
            </w14:solidFill>
          </w14:textFill>
        </w:rPr>
        <w:t>施</w:t>
      </w:r>
      <w:r>
        <w:rPr>
          <w:rFonts w:hint="eastAsia" w:ascii="仿宋" w:hAnsi="仿宋" w:eastAsia="仿宋" w:cs="Arial Unicode MS"/>
          <w:color w:val="000000" w:themeColor="text1"/>
          <w:spacing w:val="2"/>
          <w:kern w:val="0"/>
          <w:szCs w:val="21"/>
          <w:highlight w:val="none"/>
          <w14:textFill>
            <w14:solidFill>
              <w14:schemeClr w14:val="tx1"/>
            </w14:solidFill>
          </w14:textFill>
        </w:rPr>
        <w:t>工用</w:t>
      </w:r>
      <w:r>
        <w:rPr>
          <w:rFonts w:hint="eastAsia" w:ascii="仿宋" w:hAnsi="仿宋" w:eastAsia="仿宋" w:cs="Arial Unicode MS"/>
          <w:color w:val="000000" w:themeColor="text1"/>
          <w:kern w:val="0"/>
          <w:szCs w:val="21"/>
          <w:highlight w:val="none"/>
          <w14:textFill>
            <w14:solidFill>
              <w14:schemeClr w14:val="tx1"/>
            </w14:solidFill>
          </w14:textFill>
        </w:rPr>
        <w:t>水</w:t>
      </w:r>
      <w:r>
        <w:rPr>
          <w:rFonts w:hint="eastAsia" w:ascii="仿宋" w:hAnsi="仿宋" w:eastAsia="仿宋" w:cs="Arial Unicode MS"/>
          <w:color w:val="000000" w:themeColor="text1"/>
          <w:spacing w:val="2"/>
          <w:kern w:val="0"/>
          <w:szCs w:val="21"/>
          <w:highlight w:val="none"/>
          <w14:textFill>
            <w14:solidFill>
              <w14:schemeClr w14:val="tx1"/>
            </w14:solidFill>
          </w14:textFill>
        </w:rPr>
        <w:t>、</w:t>
      </w:r>
      <w:r>
        <w:rPr>
          <w:rFonts w:hint="eastAsia" w:ascii="仿宋" w:hAnsi="仿宋" w:eastAsia="仿宋" w:cs="Arial Unicode MS"/>
          <w:color w:val="000000" w:themeColor="text1"/>
          <w:kern w:val="0"/>
          <w:szCs w:val="21"/>
          <w:highlight w:val="none"/>
          <w14:textFill>
            <w14:solidFill>
              <w14:schemeClr w14:val="tx1"/>
            </w14:solidFill>
          </w14:textFill>
        </w:rPr>
        <w:t>用</w:t>
      </w:r>
      <w:r>
        <w:rPr>
          <w:rFonts w:hint="eastAsia" w:ascii="仿宋" w:hAnsi="仿宋" w:eastAsia="仿宋" w:cs="Arial Unicode MS"/>
          <w:color w:val="000000" w:themeColor="text1"/>
          <w:spacing w:val="2"/>
          <w:kern w:val="0"/>
          <w:szCs w:val="21"/>
          <w:highlight w:val="none"/>
          <w14:textFill>
            <w14:solidFill>
              <w14:schemeClr w14:val="tx1"/>
            </w14:solidFill>
          </w14:textFill>
        </w:rPr>
        <w:t>电的</w:t>
      </w:r>
      <w:r>
        <w:rPr>
          <w:rFonts w:hint="eastAsia" w:ascii="仿宋" w:hAnsi="仿宋" w:eastAsia="仿宋" w:cs="Arial Unicode MS"/>
          <w:color w:val="000000" w:themeColor="text1"/>
          <w:kern w:val="0"/>
          <w:szCs w:val="21"/>
          <w:highlight w:val="none"/>
          <w14:textFill>
            <w14:solidFill>
              <w14:schemeClr w14:val="tx1"/>
            </w14:solidFill>
          </w14:textFill>
        </w:rPr>
        <w:t>接驳</w:t>
      </w:r>
      <w:r>
        <w:rPr>
          <w:rFonts w:hint="eastAsia" w:ascii="仿宋" w:hAnsi="仿宋" w:eastAsia="仿宋" w:cs="Arial Unicode MS"/>
          <w:color w:val="000000" w:themeColor="text1"/>
          <w:spacing w:val="2"/>
          <w:kern w:val="0"/>
          <w:szCs w:val="21"/>
          <w:highlight w:val="none"/>
          <w14:textFill>
            <w14:solidFill>
              <w14:schemeClr w14:val="tx1"/>
            </w14:solidFill>
          </w14:textFill>
        </w:rPr>
        <w:t>，且容量或负</w:t>
      </w:r>
      <w:r>
        <w:rPr>
          <w:rFonts w:hint="eastAsia" w:ascii="仿宋" w:hAnsi="仿宋" w:eastAsia="仿宋" w:cs="Arial Unicode MS"/>
          <w:color w:val="000000" w:themeColor="text1"/>
          <w:kern w:val="0"/>
          <w:szCs w:val="21"/>
          <w:highlight w:val="none"/>
          <w14:textFill>
            <w14:solidFill>
              <w14:schemeClr w14:val="tx1"/>
            </w14:solidFill>
          </w14:textFill>
        </w:rPr>
        <w:t>荷</w:t>
      </w:r>
      <w:r>
        <w:rPr>
          <w:rFonts w:hint="eastAsia" w:ascii="仿宋" w:hAnsi="仿宋" w:eastAsia="仿宋" w:cs="Arial Unicode MS"/>
          <w:color w:val="000000" w:themeColor="text1"/>
          <w:spacing w:val="2"/>
          <w:kern w:val="0"/>
          <w:szCs w:val="21"/>
          <w:highlight w:val="none"/>
          <w14:textFill>
            <w14:solidFill>
              <w14:schemeClr w14:val="tx1"/>
            </w14:solidFill>
          </w14:textFill>
        </w:rPr>
        <w:t>满足</w:t>
      </w:r>
      <w:r>
        <w:rPr>
          <w:rFonts w:hint="eastAsia" w:ascii="仿宋" w:hAnsi="仿宋" w:eastAsia="仿宋" w:cs="Arial Unicode MS"/>
          <w:color w:val="000000" w:themeColor="text1"/>
          <w:kern w:val="0"/>
          <w:szCs w:val="21"/>
          <w:highlight w:val="none"/>
          <w14:textFill>
            <w14:solidFill>
              <w14:schemeClr w14:val="tx1"/>
            </w14:solidFill>
          </w14:textFill>
        </w:rPr>
        <w:t>专</w:t>
      </w:r>
      <w:r>
        <w:rPr>
          <w:rFonts w:hint="eastAsia" w:ascii="仿宋" w:hAnsi="仿宋" w:eastAsia="仿宋" w:cs="Arial Unicode MS"/>
          <w:color w:val="000000" w:themeColor="text1"/>
          <w:spacing w:val="2"/>
          <w:kern w:val="0"/>
          <w:szCs w:val="21"/>
          <w:highlight w:val="none"/>
          <w14:textFill>
            <w14:solidFill>
              <w14:schemeClr w14:val="tx1"/>
            </w14:solidFill>
          </w14:textFill>
        </w:rPr>
        <w:t>业</w:t>
      </w:r>
      <w:r>
        <w:rPr>
          <w:rFonts w:hint="eastAsia" w:ascii="仿宋" w:hAnsi="仿宋" w:eastAsia="仿宋" w:cs="Arial Unicode MS"/>
          <w:color w:val="000000" w:themeColor="text1"/>
          <w:kern w:val="0"/>
          <w:szCs w:val="21"/>
          <w:highlight w:val="none"/>
          <w14:textFill>
            <w14:solidFill>
              <w14:schemeClr w14:val="tx1"/>
            </w14:solidFill>
          </w14:textFill>
        </w:rPr>
        <w:t>单</w:t>
      </w:r>
      <w:r>
        <w:rPr>
          <w:rFonts w:hint="eastAsia" w:ascii="仿宋" w:hAnsi="仿宋" w:eastAsia="仿宋" w:cs="Arial Unicode MS"/>
          <w:color w:val="000000" w:themeColor="text1"/>
          <w:spacing w:val="2"/>
          <w:kern w:val="0"/>
          <w:szCs w:val="21"/>
          <w:highlight w:val="none"/>
          <w14:textFill>
            <w14:solidFill>
              <w14:schemeClr w14:val="tx1"/>
            </w14:solidFill>
          </w14:textFill>
        </w:rPr>
        <w:t>位的要</w:t>
      </w:r>
      <w:r>
        <w:rPr>
          <w:rFonts w:hint="eastAsia" w:ascii="仿宋" w:hAnsi="仿宋" w:eastAsia="仿宋" w:cs="Arial Unicode MS"/>
          <w:color w:val="000000" w:themeColor="text1"/>
          <w:kern w:val="0"/>
          <w:szCs w:val="21"/>
          <w:highlight w:val="none"/>
          <w14:textFill>
            <w14:solidFill>
              <w14:schemeClr w14:val="tx1"/>
            </w14:solidFill>
          </w14:textFill>
        </w:rPr>
        <w:t>求</w:t>
      </w:r>
      <w:r>
        <w:rPr>
          <w:rFonts w:hint="eastAsia" w:ascii="仿宋" w:hAnsi="仿宋" w:eastAsia="仿宋" w:cs="Arial Unicode MS"/>
          <w:color w:val="000000" w:themeColor="text1"/>
          <w:spacing w:val="2"/>
          <w:kern w:val="0"/>
          <w:szCs w:val="21"/>
          <w:highlight w:val="none"/>
          <w14:textFill>
            <w14:solidFill>
              <w14:schemeClr w14:val="tx1"/>
            </w14:solidFill>
          </w14:textFill>
        </w:rPr>
        <w:t>。但</w:t>
      </w:r>
      <w:r>
        <w:rPr>
          <w:rFonts w:hint="eastAsia" w:ascii="仿宋" w:hAnsi="仿宋" w:eastAsia="仿宋" w:cs="Arial Unicode MS"/>
          <w:color w:val="000000" w:themeColor="text1"/>
          <w:kern w:val="0"/>
          <w:szCs w:val="21"/>
          <w:highlight w:val="none"/>
          <w14:textFill>
            <w14:solidFill>
              <w14:schemeClr w14:val="tx1"/>
            </w14:solidFill>
          </w14:textFill>
        </w:rPr>
        <w:t>接</w:t>
      </w:r>
      <w:r>
        <w:rPr>
          <w:rFonts w:hint="eastAsia" w:ascii="仿宋" w:hAnsi="仿宋" w:eastAsia="仿宋" w:cs="Arial Unicode MS"/>
          <w:color w:val="000000" w:themeColor="text1"/>
          <w:spacing w:val="2"/>
          <w:kern w:val="0"/>
          <w:szCs w:val="21"/>
          <w:highlight w:val="none"/>
          <w14:textFill>
            <w14:solidFill>
              <w14:schemeClr w14:val="tx1"/>
            </w14:solidFill>
          </w14:textFill>
        </w:rPr>
        <w:t>驳点</w:t>
      </w:r>
      <w:r>
        <w:rPr>
          <w:rFonts w:hint="eastAsia" w:ascii="仿宋" w:hAnsi="仿宋" w:eastAsia="仿宋" w:cs="Arial Unicode MS"/>
          <w:color w:val="000000" w:themeColor="text1"/>
          <w:kern w:val="0"/>
          <w:szCs w:val="21"/>
          <w:highlight w:val="none"/>
          <w14:textFill>
            <w14:solidFill>
              <w14:schemeClr w14:val="tx1"/>
            </w14:solidFill>
          </w14:textFill>
        </w:rPr>
        <w:t>以</w:t>
      </w:r>
      <w:r>
        <w:rPr>
          <w:rFonts w:hint="eastAsia" w:ascii="仿宋" w:hAnsi="仿宋" w:eastAsia="仿宋" w:cs="Arial Unicode MS"/>
          <w:color w:val="000000" w:themeColor="text1"/>
          <w:spacing w:val="2"/>
          <w:kern w:val="0"/>
          <w:szCs w:val="21"/>
          <w:highlight w:val="none"/>
          <w14:textFill>
            <w14:solidFill>
              <w14:schemeClr w14:val="tx1"/>
            </w14:solidFill>
          </w14:textFill>
        </w:rPr>
        <w:t>后</w:t>
      </w:r>
      <w:r>
        <w:rPr>
          <w:rFonts w:hint="eastAsia" w:ascii="仿宋" w:hAnsi="仿宋" w:eastAsia="仿宋" w:cs="Arial Unicode MS"/>
          <w:color w:val="000000" w:themeColor="text1"/>
          <w:kern w:val="0"/>
          <w:szCs w:val="21"/>
          <w:highlight w:val="none"/>
          <w14:textFill>
            <w14:solidFill>
              <w14:schemeClr w14:val="tx1"/>
            </w14:solidFill>
          </w14:textFill>
        </w:rPr>
        <w:t>的</w:t>
      </w:r>
      <w:r>
        <w:rPr>
          <w:rFonts w:hint="eastAsia" w:ascii="仿宋" w:hAnsi="仿宋" w:eastAsia="仿宋" w:cs="Arial Unicode MS"/>
          <w:color w:val="000000" w:themeColor="text1"/>
          <w:spacing w:val="2"/>
          <w:kern w:val="0"/>
          <w:szCs w:val="21"/>
          <w:highlight w:val="none"/>
          <w14:textFill>
            <w14:solidFill>
              <w14:schemeClr w14:val="tx1"/>
            </w14:solidFill>
          </w14:textFill>
        </w:rPr>
        <w:t>管道</w:t>
      </w:r>
      <w:r>
        <w:rPr>
          <w:rFonts w:hint="eastAsia" w:ascii="仿宋" w:hAnsi="仿宋" w:eastAsia="仿宋" w:cs="Arial Unicode MS"/>
          <w:color w:val="000000" w:themeColor="text1"/>
          <w:kern w:val="0"/>
          <w:szCs w:val="21"/>
          <w:highlight w:val="none"/>
          <w14:textFill>
            <w14:solidFill>
              <w14:schemeClr w14:val="tx1"/>
            </w14:solidFill>
          </w14:textFill>
        </w:rPr>
        <w:t>、</w:t>
      </w:r>
      <w:r>
        <w:rPr>
          <w:rFonts w:hint="eastAsia" w:ascii="仿宋" w:hAnsi="仿宋" w:eastAsia="仿宋" w:cs="Arial Unicode MS"/>
          <w:color w:val="000000" w:themeColor="text1"/>
          <w:spacing w:val="2"/>
          <w:kern w:val="0"/>
          <w:szCs w:val="21"/>
          <w:highlight w:val="none"/>
          <w14:textFill>
            <w14:solidFill>
              <w14:schemeClr w14:val="tx1"/>
            </w14:solidFill>
          </w14:textFill>
        </w:rPr>
        <w:t>线</w:t>
      </w:r>
      <w:r>
        <w:rPr>
          <w:rFonts w:hint="eastAsia" w:ascii="仿宋" w:hAnsi="仿宋" w:eastAsia="仿宋" w:cs="Arial Unicode MS"/>
          <w:color w:val="000000" w:themeColor="text1"/>
          <w:kern w:val="0"/>
          <w:szCs w:val="21"/>
          <w:highlight w:val="none"/>
          <w14:textFill>
            <w14:solidFill>
              <w14:schemeClr w14:val="tx1"/>
            </w14:solidFill>
          </w14:textFill>
        </w:rPr>
        <w:t>路</w:t>
      </w:r>
      <w:r>
        <w:rPr>
          <w:rFonts w:hint="eastAsia" w:ascii="仿宋" w:hAnsi="仿宋" w:eastAsia="仿宋" w:cs="Arial Unicode MS"/>
          <w:color w:val="000000" w:themeColor="text1"/>
          <w:spacing w:val="2"/>
          <w:kern w:val="0"/>
          <w:szCs w:val="21"/>
          <w:highlight w:val="none"/>
          <w14:textFill>
            <w14:solidFill>
              <w14:schemeClr w14:val="tx1"/>
            </w14:solidFill>
          </w14:textFill>
        </w:rPr>
        <w:t>由专业承包人及专业分包人</w:t>
      </w:r>
      <w:r>
        <w:rPr>
          <w:rFonts w:hint="eastAsia" w:ascii="仿宋" w:hAnsi="仿宋" w:eastAsia="仿宋" w:cs="Arial Unicode MS"/>
          <w:color w:val="000000" w:themeColor="text1"/>
          <w:kern w:val="0"/>
          <w:szCs w:val="21"/>
          <w:highlight w:val="none"/>
          <w14:textFill>
            <w14:solidFill>
              <w14:schemeClr w14:val="tx1"/>
            </w14:solidFill>
          </w14:textFill>
        </w:rPr>
        <w:t>负</w:t>
      </w:r>
      <w:r>
        <w:rPr>
          <w:rFonts w:hint="eastAsia" w:ascii="仿宋" w:hAnsi="仿宋" w:eastAsia="仿宋" w:cs="Arial Unicode MS"/>
          <w:color w:val="000000" w:themeColor="text1"/>
          <w:spacing w:val="2"/>
          <w:kern w:val="0"/>
          <w:szCs w:val="21"/>
          <w:highlight w:val="none"/>
          <w14:textFill>
            <w14:solidFill>
              <w14:schemeClr w14:val="tx1"/>
            </w14:solidFill>
          </w14:textFill>
        </w:rPr>
        <w:t>责</w:t>
      </w:r>
      <w:r>
        <w:rPr>
          <w:rFonts w:hint="eastAsia" w:ascii="仿宋" w:hAnsi="仿宋" w:eastAsia="仿宋" w:cs="Arial Unicode MS"/>
          <w:color w:val="000000" w:themeColor="text1"/>
          <w:kern w:val="0"/>
          <w:szCs w:val="21"/>
          <w:highlight w:val="none"/>
          <w14:textFill>
            <w14:solidFill>
              <w14:schemeClr w14:val="tx1"/>
            </w14:solidFill>
          </w14:textFill>
        </w:rPr>
        <w:t>安</w:t>
      </w:r>
      <w:r>
        <w:rPr>
          <w:rFonts w:hint="eastAsia" w:ascii="仿宋" w:hAnsi="仿宋" w:eastAsia="仿宋" w:cs="Arial Unicode MS"/>
          <w:color w:val="000000" w:themeColor="text1"/>
          <w:spacing w:val="2"/>
          <w:kern w:val="0"/>
          <w:szCs w:val="21"/>
          <w:highlight w:val="none"/>
          <w14:textFill>
            <w14:solidFill>
              <w14:schemeClr w14:val="tx1"/>
            </w14:solidFill>
          </w14:textFill>
        </w:rPr>
        <w:t>装、</w:t>
      </w:r>
      <w:r>
        <w:rPr>
          <w:rFonts w:hint="eastAsia" w:ascii="仿宋" w:hAnsi="仿宋" w:eastAsia="仿宋" w:cs="Arial Unicode MS"/>
          <w:color w:val="000000" w:themeColor="text1"/>
          <w:kern w:val="0"/>
          <w:szCs w:val="21"/>
          <w:highlight w:val="none"/>
          <w14:textFill>
            <w14:solidFill>
              <w14:schemeClr w14:val="tx1"/>
            </w14:solidFill>
          </w14:textFill>
        </w:rPr>
        <w:t>拆除</w:t>
      </w:r>
      <w:r>
        <w:rPr>
          <w:rFonts w:hint="eastAsia" w:ascii="仿宋" w:hAnsi="仿宋" w:eastAsia="仿宋" w:cs="Arial Unicode MS"/>
          <w:color w:val="000000" w:themeColor="text1"/>
          <w:spacing w:val="2"/>
          <w:kern w:val="0"/>
          <w:szCs w:val="21"/>
          <w:highlight w:val="none"/>
          <w14:textFill>
            <w14:solidFill>
              <w14:schemeClr w14:val="tx1"/>
            </w14:solidFill>
          </w14:textFill>
        </w:rPr>
        <w:t>，并承</w:t>
      </w:r>
      <w:r>
        <w:rPr>
          <w:rFonts w:hint="eastAsia" w:ascii="仿宋" w:hAnsi="仿宋" w:eastAsia="仿宋" w:cs="Arial Unicode MS"/>
          <w:color w:val="000000" w:themeColor="text1"/>
          <w:kern w:val="0"/>
          <w:szCs w:val="21"/>
          <w:highlight w:val="none"/>
          <w14:textFill>
            <w14:solidFill>
              <w14:schemeClr w14:val="tx1"/>
            </w14:solidFill>
          </w14:textFill>
        </w:rPr>
        <w:t xml:space="preserve">担其费用； </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1.2 </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将总承包人负责修建和维护的道路免费提供给专业承包人及专业分包人使用并负责管理；</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1.3</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免费向各专业承包人及专业分包人提供施工所需的室内外水平及垂直控制墨线（包括但不限于建筑1米线）；</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1.4</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提供现场材料、机具转堆场地；</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1.5 </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做好各专业工程施工完毕后的一次性收口、修补、冲缝、塞洞和塞缝工作，但该工作不得影响已完成的专业工程的施工质量。如因专业承包人及专业分包人施工质量不合格，返工后造成需二次修补时，所发生的费用由专业承包人及专业分包人负责；</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1.6</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在工作安排、进度计划、费用报价等方面，应考虑由于对专业工程提供配合服务和提供总承包服务所产生的工种穿插、交叉、预埋配合工效损失等所有相关情况；</w:t>
      </w:r>
    </w:p>
    <w:p>
      <w:pPr>
        <w:autoSpaceDE w:val="0"/>
        <w:autoSpaceDN w:val="0"/>
        <w:adjustRightInd w:val="0"/>
        <w:spacing w:line="360" w:lineRule="auto"/>
        <w:ind w:firstLine="428" w:firstLineChars="200"/>
        <w:jc w:val="left"/>
        <w:rPr>
          <w:rFonts w:ascii="仿宋" w:hAnsi="仿宋" w:eastAsia="仿宋" w:cs="Arial Unicode MS"/>
          <w:color w:val="000000" w:themeColor="text1"/>
          <w:spacing w:val="2"/>
          <w:kern w:val="0"/>
          <w:szCs w:val="21"/>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1.7</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对征得发包人同意，工程后期提前使用的电梯，由总承包单位负责其电费及产品保护、运行管理及相关费用；</w:t>
      </w:r>
    </w:p>
    <w:p>
      <w:pPr>
        <w:autoSpaceDE w:val="0"/>
        <w:autoSpaceDN w:val="0"/>
        <w:adjustRightInd w:val="0"/>
        <w:spacing w:line="400" w:lineRule="exact"/>
        <w:ind w:firstLine="428" w:firstLineChars="200"/>
        <w:jc w:val="left"/>
        <w:rPr>
          <w:rFonts w:ascii="宋体" w:hAnsi="宋体" w:cs="Arial Unicode MS"/>
          <w:color w:val="000000" w:themeColor="text1"/>
          <w:spacing w:val="2"/>
          <w:kern w:val="0"/>
          <w:sz w:val="24"/>
          <w:szCs w:val="24"/>
          <w:highlight w:val="none"/>
          <w14:textFill>
            <w14:solidFill>
              <w14:schemeClr w14:val="tx1"/>
            </w14:solidFill>
          </w14:textFill>
        </w:rPr>
      </w:pPr>
      <w:r>
        <w:rPr>
          <w:rFonts w:hint="eastAsia" w:ascii="仿宋" w:hAnsi="仿宋" w:eastAsia="仿宋" w:cs="Arial Unicode MS"/>
          <w:color w:val="000000" w:themeColor="text1"/>
          <w:spacing w:val="2"/>
          <w:kern w:val="0"/>
          <w:szCs w:val="21"/>
          <w:highlight w:val="none"/>
          <w14:textFill>
            <w14:solidFill>
              <w14:schemeClr w14:val="tx1"/>
            </w14:solidFill>
          </w14:textFill>
        </w:rPr>
        <w:t>1.8</w:t>
      </w:r>
      <w:r>
        <w:rPr>
          <w:rFonts w:hint="eastAsia" w:ascii="仿宋" w:hAnsi="仿宋" w:eastAsia="仿宋" w:cs="Arial Unicode MS"/>
          <w:color w:val="000000" w:themeColor="text1"/>
          <w:spacing w:val="2"/>
          <w:kern w:val="0"/>
          <w:szCs w:val="21"/>
          <w:highlight w:val="none"/>
          <w14:textFill>
            <w14:solidFill>
              <w14:schemeClr w14:val="tx1"/>
            </w14:solidFill>
          </w14:textFill>
        </w:rPr>
        <w:tab/>
      </w:r>
      <w:r>
        <w:rPr>
          <w:rFonts w:hint="eastAsia" w:ascii="仿宋" w:hAnsi="仿宋" w:eastAsia="仿宋" w:cs="Arial Unicode MS"/>
          <w:color w:val="000000" w:themeColor="text1"/>
          <w:spacing w:val="2"/>
          <w:kern w:val="0"/>
          <w:szCs w:val="21"/>
          <w:highlight w:val="none"/>
          <w14:textFill>
            <w14:solidFill>
              <w14:schemeClr w14:val="tx1"/>
            </w14:solidFill>
          </w14:textFill>
        </w:rPr>
        <w:t xml:space="preserve"> 配合专业承包人及专业分包人完成总承包管理范围内整个工程的产品保护，并进行统一管理。必要时应提前完成相关土建工程及机房门等，以便机电等安装单位能够确保设备的安全保护。</w:t>
      </w: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 xml:space="preserve">   </w:t>
      </w: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p>
    <w:p>
      <w:pPr>
        <w:tabs>
          <w:tab w:val="left" w:pos="630"/>
        </w:tabs>
        <w:adjustRightInd w:val="0"/>
        <w:spacing w:line="540" w:lineRule="exact"/>
        <w:textAlignment w:val="baseline"/>
        <w:rPr>
          <w:rFonts w:ascii="宋体" w:hAnsi="宋体"/>
          <w:color w:val="000000" w:themeColor="text1"/>
          <w:kern w:val="0"/>
          <w:szCs w:val="21"/>
          <w:highlight w:val="none"/>
          <w14:textFill>
            <w14:solidFill>
              <w14:schemeClr w14:val="tx1"/>
            </w14:solidFill>
          </w14:textFill>
        </w:rPr>
      </w:pPr>
    </w:p>
    <w:p>
      <w:pPr>
        <w:widowControl/>
        <w:jc w:val="left"/>
        <w:rPr>
          <w:rFonts w:ascii="宋体" w:hAnsi="宋体"/>
          <w:color w:val="000000" w:themeColor="text1"/>
          <w:kern w:val="0"/>
          <w:szCs w:val="21"/>
          <w:highlight w:val="none"/>
          <w14:textFill>
            <w14:solidFill>
              <w14:schemeClr w14:val="tx1"/>
            </w14:solidFill>
          </w14:textFill>
        </w:rPr>
      </w:pPr>
      <w:r>
        <w:rPr>
          <w:rFonts w:ascii="宋体" w:hAnsi="宋体"/>
          <w:color w:val="000000" w:themeColor="text1"/>
          <w:kern w:val="0"/>
          <w:szCs w:val="21"/>
          <w:highlight w:val="none"/>
          <w14:textFill>
            <w14:solidFill>
              <w14:schemeClr w14:val="tx1"/>
            </w14:solidFill>
          </w14:textFill>
        </w:rPr>
        <w:br w:type="page"/>
      </w:r>
    </w:p>
    <w:p>
      <w:pPr>
        <w:pStyle w:val="2"/>
        <w:spacing w:before="0" w:after="0" w:line="240" w:lineRule="auto"/>
        <w:rPr>
          <w:rFonts w:ascii="仿宋" w:hAnsi="仿宋" w:eastAsia="仿宋"/>
          <w:color w:val="000000" w:themeColor="text1"/>
          <w:sz w:val="30"/>
          <w:szCs w:val="30"/>
          <w:highlight w:val="none"/>
          <w14:textFill>
            <w14:solidFill>
              <w14:schemeClr w14:val="tx1"/>
            </w14:solidFill>
          </w14:textFill>
        </w:rPr>
      </w:pPr>
      <w:bookmarkStart w:id="937" w:name="_Toc10256"/>
      <w:bookmarkStart w:id="938" w:name="_Toc118446914"/>
      <w:r>
        <w:rPr>
          <w:rFonts w:hint="eastAsia" w:ascii="仿宋" w:hAnsi="仿宋" w:eastAsia="仿宋"/>
          <w:color w:val="000000" w:themeColor="text1"/>
          <w:sz w:val="30"/>
          <w:szCs w:val="30"/>
          <w:highlight w:val="none"/>
          <w14:textFill>
            <w14:solidFill>
              <w14:schemeClr w14:val="tx1"/>
            </w14:solidFill>
          </w14:textFill>
        </w:rPr>
        <w:t>附件7 工程建设项目</w:t>
      </w:r>
      <w:r>
        <w:rPr>
          <w:rFonts w:hint="eastAsia" w:ascii="仿宋" w:hAnsi="仿宋" w:eastAsia="仿宋"/>
          <w:color w:val="000000" w:themeColor="text1"/>
          <w:sz w:val="30"/>
          <w:szCs w:val="30"/>
          <w:highlight w:val="none"/>
          <w:u w:val="dotted"/>
          <w14:textFill>
            <w14:solidFill>
              <w14:schemeClr w14:val="tx1"/>
            </w14:solidFill>
          </w14:textFill>
        </w:rPr>
        <w:t>廉政责任书</w:t>
      </w:r>
      <w:bookmarkEnd w:id="921"/>
      <w:bookmarkEnd w:id="922"/>
      <w:bookmarkEnd w:id="923"/>
      <w:bookmarkEnd w:id="924"/>
      <w:bookmarkEnd w:id="937"/>
      <w:bookmarkEnd w:id="938"/>
      <w:r>
        <w:rPr>
          <w:rFonts w:hint="eastAsia" w:ascii="仿宋" w:hAnsi="仿宋" w:eastAsia="仿宋"/>
          <w:color w:val="000000" w:themeColor="text1"/>
          <w:sz w:val="30"/>
          <w:szCs w:val="30"/>
          <w:highlight w:val="none"/>
          <w14:textFill>
            <w14:solidFill>
              <w14:schemeClr w14:val="tx1"/>
            </w14:solidFill>
          </w14:textFill>
        </w:rPr>
        <w:t xml:space="preserve"> </w:t>
      </w:r>
    </w:p>
    <w:p>
      <w:pPr>
        <w:tabs>
          <w:tab w:val="left" w:pos="630"/>
        </w:tabs>
        <w:adjustRightInd w:val="0"/>
        <w:spacing w:before="240" w:beforeLines="100" w:after="240" w:afterLines="100"/>
        <w:jc w:val="center"/>
        <w:textAlignment w:val="baseline"/>
        <w:rPr>
          <w:rFonts w:ascii="宋体" w:hAnsi="宋体"/>
          <w:b/>
          <w:color w:val="000000" w:themeColor="text1"/>
          <w:kern w:val="0"/>
          <w:sz w:val="32"/>
          <w:szCs w:val="32"/>
          <w:highlight w:val="none"/>
          <w14:textFill>
            <w14:solidFill>
              <w14:schemeClr w14:val="tx1"/>
            </w14:solidFill>
          </w14:textFill>
        </w:rPr>
      </w:pPr>
      <w:r>
        <w:rPr>
          <w:rFonts w:hint="eastAsia" w:ascii="宋体" w:hAnsi="宋体"/>
          <w:b/>
          <w:color w:val="000000" w:themeColor="text1"/>
          <w:kern w:val="0"/>
          <w:sz w:val="32"/>
          <w:szCs w:val="32"/>
          <w:highlight w:val="none"/>
          <w14:textFill>
            <w14:solidFill>
              <w14:schemeClr w14:val="tx1"/>
            </w14:solidFill>
          </w14:textFill>
        </w:rPr>
        <w:t>工程建设项目廉政责任书</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为加强</w:t>
      </w:r>
      <w:r>
        <w:rPr>
          <w:rFonts w:hint="eastAsia" w:ascii="宋体" w:hAnsi="宋体"/>
          <w:color w:val="000000" w:themeColor="text1"/>
          <w:kern w:val="0"/>
          <w:szCs w:val="21"/>
          <w:highlight w:val="none"/>
          <w:u w:val="single"/>
          <w14:textFill>
            <w14:solidFill>
              <w14:schemeClr w14:val="tx1"/>
            </w14:solidFill>
          </w14:textFill>
        </w:rPr>
        <w:t xml:space="preserve">       </w:t>
      </w:r>
      <w:r>
        <w:rPr>
          <w:rFonts w:hint="eastAsia" w:ascii="宋体" w:hAnsi="宋体"/>
          <w:color w:val="000000" w:themeColor="text1"/>
          <w:kern w:val="0"/>
          <w:szCs w:val="21"/>
          <w:highlight w:val="none"/>
          <w14:textFill>
            <w14:solidFill>
              <w14:schemeClr w14:val="tx1"/>
            </w14:solidFill>
          </w14:textFill>
        </w:rPr>
        <w:t>建设过程的廉政建设，规范工程建设中双方的各项活动，防止发生各种谋取不正当利益的违法违纪行为，保护国家和当事人的合法权益，根据国家有关工程建设的法律法规和廉政建设责任制规定，特订立本廉政责任书。</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第一条　甲乙双方的责任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（一）应严格遵守国家关于市场准入、项目招标投标、工程建设、施工安装和市场活动等有关法律、法规、政策，以及廉政建设的各项规定。</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（二）严格履行工程建设项目中所签订的所有合同文件，自觉按合同办事。</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（三）业务活动必须坚持公开、公平、公正、诚信、透明的原则（除法律法规另有规定者外），不得为获取不正当的利益，损害国家和对方利益，不得违反工程建设管理、施工安装的规章制度。</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（四）教育、监督本单位所有相关人员(包括担任领导职务人员，下同）廉洁、尽职地工作，制定和严格执行相关规章制度，防范和严肃查处相关人员违法、违纪利用工作便利谋取个人利益的行为。</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（五）不得向另一方的相关人员提供第二条或第三条各项所列个人利益，三方的合同另有明文规定的奖励、考察不受此限。</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六)发现另一方或其有关人员在业务活动中有违规、违纪、违法行为的，应及时提醒、告知另一方，另一方应依照法律法规、相关合同，认真调查并处理。另一方或其有关人员该等行为情节严重的，任何一方均应向其上级主管部门或纪检监察、司法等有关机关举报。</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第二条　承包人的责任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承包人应教育和监督本方与该工程建设项目有关的人员，在工程建设的事前、事中、事后均严格遵守以下规定：</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（一）不准向分包人和相关单位（包括但不限于施工单位、勘察、设计单位、设备或原材料供应单位，下同）索要或接受回扣、礼金、红包、有价证券、银行卡、物品和好处费、感谢费、其他财产性利益等。</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（二）不准在分包人和相关单位报销任何应由发包人支付的费用，或借用分包人的车辆办理私事。</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（三）不准要求、暗示和接受承包人和相关单位为个人装修住房、婚丧嫁娶、配偶子女的工作安排以及出国（境）、旅游（双方相关合同所规定的考察不受此限）等提供方便。</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（四）不准参加有可能影响公正执行公务的分包人和相关单位的宴请、健身、娱乐等活动。</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五）不准向分包人介绍或为配偶、子女、亲属参与同发包人有关的设备、材料、工程分包、劳务等经济活动。不得以任何理由向分包人和相关单位推荐分包人和要求分包人购买规定以外的材料、设备等（合同所规定的属于承包人行使的相关权利不受此限）。</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第三条　分包人的责任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应与承包人保持正常的业务交往，按照有关法律法规和程序开展业务工作，严格执行工程建设的有关方针、政策，尤其是有关建筑施工、安装及强制性标准和规范，并教育和监督其领导和有关人员严格遵守以下规定：</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（一）不准以任何理由向承包人、相关单位及其工作人员索要、接受或赠送礼金、红包、有价证券、银行卡、物品和回扣、好处费、感谢费、其他财产性利益等。</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（二）不准以任何理由为承包人和相关单位报销应由对方或个人支付的费用，或出借车辆给承包人人员办理私事。</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（三）不准接受或暗示为承包人、相关单位或个人装修住房、婚丧嫁娶、配偶子女的工作安排以及出国（境）、旅游等提供方便。</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（四）不准以任何理由为承包人、相关单位或个人组织有可能影响公正执行公务的宴请、健身、娱乐等活动。</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第四条　法律和纪律责任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一）承包人工作人员有违反本责任书第一、二条谋取个人利益行为的，分包人应向承包人或有关机关举报，承包人应按照管理权限调查核实，并依据有关法律法规和规定给予党纪、政纪处分或公司制度项下处分处理；涉嫌犯罪的，向司法机关举报，追究刑事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二）分包人工作人员有违反本责任书第一、三条谋取个人利益行为的，承包人应向分包人或有关机关举报，分包人应按照管理权限调查核实，并依据有关法律法规和规定给予党纪、政纪处分或公司制度项下处分处理；涉嫌犯罪的，向司法机关举报，追究刑事责任。</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三）A方（指任何一方，下同）向B方（指另一方，下同）有关人员提供前述各条所禁止提供或收受的个人利益的，无论是否依B方有关人员的要求提供，也无论通过何种方式、何人提供，均须承担全部相应的法律责任，包括但不限于赔偿B方因该等不正当收受利益人员有关失职行为所发生的全部损失。B方并有权解除合同。B方有关人员未接受A方所给付的该等利益的，或其接受后未发现其失职造成B方损失的，或B方所发生的损失或部分损失难以计算的,按提供给B方人员个人利益每人次须付50万元计算违约金。</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（四）B方有关人员因索要前述禁止的个人利益未成功或因未取得A方给付该等利益而未正常处理有关工作，造成B方违反合同的，B方须向A方承担违约责任，赔偿A方全部损失。</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第五条　本责任书作为本工程合同的附件，与工程合同具有同等法律效力。</w:t>
      </w:r>
    </w:p>
    <w:p>
      <w:pPr>
        <w:adjustRightInd w:val="0"/>
        <w:spacing w:line="480" w:lineRule="auto"/>
        <w:ind w:firstLine="420" w:firstLineChars="200"/>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 xml:space="preserve">第六条　本责任书的有效期为双方签署之日起至该工程建设项目竣工验收符合合同要求且结算完毕时止。    </w:t>
      </w:r>
    </w:p>
    <w:p>
      <w:pPr>
        <w:adjustRightInd w:val="0"/>
        <w:spacing w:line="360" w:lineRule="auto"/>
        <w:textAlignment w:val="baseline"/>
        <w:rPr>
          <w:rFonts w:ascii="宋体" w:hAnsi="宋体"/>
          <w:color w:val="000000" w:themeColor="text1"/>
          <w:kern w:val="0"/>
          <w:szCs w:val="21"/>
          <w:highlight w:val="none"/>
          <w14:textFill>
            <w14:solidFill>
              <w14:schemeClr w14:val="tx1"/>
            </w14:solidFill>
          </w14:textFill>
        </w:rPr>
      </w:pPr>
    </w:p>
    <w:p>
      <w:pPr>
        <w:adjustRightInd w:val="0"/>
        <w:spacing w:line="360" w:lineRule="auto"/>
        <w:textAlignment w:val="baseline"/>
        <w:rPr>
          <w:rFonts w:ascii="宋体" w:hAnsi="宋体"/>
          <w:color w:val="000000" w:themeColor="text1"/>
          <w:kern w:val="0"/>
          <w:szCs w:val="21"/>
          <w:highlight w:val="none"/>
          <w14:textFill>
            <w14:solidFill>
              <w14:schemeClr w14:val="tx1"/>
            </w14:solidFill>
          </w14:textFill>
        </w:rPr>
      </w:pPr>
    </w:p>
    <w:p>
      <w:pPr>
        <w:adjustRightInd w:val="0"/>
        <w:spacing w:line="480" w:lineRule="auto"/>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 xml:space="preserve">承包人：（盖章）                        分包人：（盖章） </w:t>
      </w:r>
    </w:p>
    <w:p>
      <w:pPr>
        <w:adjustRightInd w:val="0"/>
        <w:spacing w:line="480" w:lineRule="auto"/>
        <w:textAlignment w:val="baseline"/>
        <w:rPr>
          <w:rFonts w:ascii="宋体" w:hAnsi="宋体"/>
          <w:color w:val="000000" w:themeColor="text1"/>
          <w:kern w:val="0"/>
          <w:szCs w:val="21"/>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法定代表人或授权代表人：                法定代表人或授权代表人：</w:t>
      </w:r>
    </w:p>
    <w:p>
      <w:pPr>
        <w:adjustRightInd w:val="0"/>
        <w:spacing w:line="480" w:lineRule="auto"/>
        <w:textAlignment w:val="baseline"/>
        <w:rPr>
          <w:rFonts w:ascii="宋体" w:hAnsi="宋体"/>
          <w:color w:val="000000" w:themeColor="text1"/>
          <w:kern w:val="0"/>
          <w:szCs w:val="21"/>
          <w:highlight w:val="none"/>
          <w14:textFill>
            <w14:solidFill>
              <w14:schemeClr w14:val="tx1"/>
            </w14:solidFill>
          </w14:textFill>
        </w:rPr>
      </w:pPr>
    </w:p>
    <w:p>
      <w:pPr>
        <w:adjustRightInd w:val="0"/>
        <w:spacing w:line="480" w:lineRule="auto"/>
        <w:textAlignment w:val="baseline"/>
        <w:rPr>
          <w:color w:val="000000" w:themeColor="text1"/>
          <w:kern w:val="0"/>
          <w:szCs w:val="20"/>
          <w:highlight w:val="none"/>
          <w14:textFill>
            <w14:solidFill>
              <w14:schemeClr w14:val="tx1"/>
            </w14:solidFill>
          </w14:textFill>
        </w:rPr>
      </w:pPr>
      <w:r>
        <w:rPr>
          <w:rFonts w:hint="eastAsia" w:ascii="宋体" w:hAnsi="宋体"/>
          <w:color w:val="000000" w:themeColor="text1"/>
          <w:kern w:val="0"/>
          <w:szCs w:val="21"/>
          <w:highlight w:val="none"/>
          <w14:textFill>
            <w14:solidFill>
              <w14:schemeClr w14:val="tx1"/>
            </w14:solidFill>
          </w14:textFill>
        </w:rPr>
        <w:t>签约日期：                              签约日期：</w:t>
      </w:r>
    </w:p>
    <w:p>
      <w:pPr>
        <w:pStyle w:val="2"/>
        <w:spacing w:line="500" w:lineRule="exact"/>
        <w:rPr>
          <w:rFonts w:ascii="仿宋" w:hAnsi="仿宋" w:eastAsia="仿宋"/>
          <w:color w:val="000000" w:themeColor="text1"/>
          <w:sz w:val="30"/>
          <w:szCs w:val="30"/>
          <w:highlight w:val="none"/>
          <w14:textFill>
            <w14:solidFill>
              <w14:schemeClr w14:val="tx1"/>
            </w14:solidFill>
          </w14:textFill>
        </w:rPr>
      </w:pPr>
      <w:r>
        <w:rPr>
          <w:color w:val="000000" w:themeColor="text1"/>
          <w:sz w:val="30"/>
          <w:szCs w:val="30"/>
          <w:highlight w:val="none"/>
          <w14:textFill>
            <w14:solidFill>
              <w14:schemeClr w14:val="tx1"/>
            </w14:solidFill>
          </w14:textFill>
        </w:rPr>
        <w:br w:type="page"/>
      </w:r>
      <w:bookmarkStart w:id="939" w:name="_Toc22912"/>
      <w:bookmarkStart w:id="940" w:name="_Toc118446915"/>
      <w:bookmarkStart w:id="941" w:name="_Toc44227956"/>
      <w:bookmarkStart w:id="942" w:name="_Toc44492633"/>
      <w:bookmarkStart w:id="943" w:name="_Toc7459"/>
      <w:bookmarkStart w:id="944" w:name="_Toc11990"/>
      <w:r>
        <w:rPr>
          <w:rFonts w:hint="eastAsia" w:ascii="仿宋" w:hAnsi="仿宋" w:eastAsia="仿宋"/>
          <w:color w:val="000000" w:themeColor="text1"/>
          <w:sz w:val="30"/>
          <w:szCs w:val="30"/>
          <w:highlight w:val="none"/>
          <w14:textFill>
            <w14:solidFill>
              <w14:schemeClr w14:val="tx1"/>
            </w14:solidFill>
          </w14:textFill>
        </w:rPr>
        <w:t>附件8 已标价工程量清单</w:t>
      </w:r>
      <w:bookmarkEnd w:id="939"/>
      <w:bookmarkEnd w:id="940"/>
      <w:r>
        <w:rPr>
          <w:rFonts w:hint="eastAsia" w:ascii="仿宋" w:hAnsi="仿宋" w:eastAsia="仿宋"/>
          <w:color w:val="000000" w:themeColor="text1"/>
          <w:sz w:val="30"/>
          <w:szCs w:val="30"/>
          <w:highlight w:val="none"/>
          <w14:textFill>
            <w14:solidFill>
              <w14:schemeClr w14:val="tx1"/>
            </w14:solidFill>
          </w14:textFill>
        </w:rPr>
        <w:t>（另册）</w:t>
      </w:r>
    </w:p>
    <w:p>
      <w:pPr>
        <w:tabs>
          <w:tab w:val="left" w:pos="630"/>
        </w:tabs>
        <w:adjustRightInd w:val="0"/>
        <w:spacing w:line="400" w:lineRule="exact"/>
        <w:ind w:firstLine="560" w:firstLineChars="200"/>
        <w:jc w:val="left"/>
        <w:textAlignment w:val="baseline"/>
        <w:rPr>
          <w:rFonts w:ascii="宋体" w:hAnsi="宋体"/>
          <w:color w:val="000000" w:themeColor="text1"/>
          <w:kern w:val="0"/>
          <w:sz w:val="28"/>
          <w:szCs w:val="28"/>
          <w:highlight w:val="none"/>
          <w14:textFill>
            <w14:solidFill>
              <w14:schemeClr w14:val="tx1"/>
            </w14:solidFill>
          </w14:textFill>
        </w:rPr>
      </w:pPr>
      <w:r>
        <w:rPr>
          <w:rFonts w:hint="eastAsia" w:ascii="宋体" w:hAnsi="宋体"/>
          <w:color w:val="000000" w:themeColor="text1"/>
          <w:kern w:val="0"/>
          <w:sz w:val="28"/>
          <w:szCs w:val="28"/>
          <w:highlight w:val="none"/>
          <w14:textFill>
            <w14:solidFill>
              <w14:schemeClr w14:val="tx1"/>
            </w14:solidFill>
          </w14:textFill>
        </w:rPr>
        <w:t>一、投标报价须知</w:t>
      </w:r>
    </w:p>
    <w:p>
      <w:pPr>
        <w:rPr>
          <w:color w:val="000000" w:themeColor="text1"/>
          <w:sz w:val="30"/>
          <w:szCs w:val="30"/>
          <w:highlight w:val="none"/>
          <w14:textFill>
            <w14:solidFill>
              <w14:schemeClr w14:val="tx1"/>
            </w14:solidFill>
          </w14:textFill>
        </w:rPr>
      </w:pPr>
    </w:p>
    <w:p>
      <w:pPr>
        <w:ind w:firstLine="560" w:firstLineChars="200"/>
        <w:rPr>
          <w:rFonts w:eastAsia="仿宋"/>
          <w:color w:val="000000" w:themeColor="text1"/>
          <w:sz w:val="28"/>
          <w:szCs w:val="28"/>
          <w:highlight w:val="none"/>
          <w14:textFill>
            <w14:solidFill>
              <w14:schemeClr w14:val="tx1"/>
            </w14:solidFill>
          </w14:textFill>
        </w:rPr>
      </w:pPr>
      <w:r>
        <w:rPr>
          <w:rFonts w:hint="eastAsia" w:ascii="仿宋" w:hAnsi="仿宋" w:eastAsia="仿宋"/>
          <w:color w:val="000000" w:themeColor="text1"/>
          <w:sz w:val="28"/>
          <w:szCs w:val="28"/>
          <w:highlight w:val="none"/>
          <w14:textFill>
            <w14:solidFill>
              <w14:schemeClr w14:val="tx1"/>
            </w14:solidFill>
          </w14:textFill>
        </w:rPr>
        <w:t>二、已标价工程量清单（另册）</w:t>
      </w: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rPr>
          <w:color w:val="000000" w:themeColor="text1"/>
          <w:sz w:val="30"/>
          <w:szCs w:val="30"/>
          <w:highlight w:val="none"/>
          <w14:textFill>
            <w14:solidFill>
              <w14:schemeClr w14:val="tx1"/>
            </w14:solidFill>
          </w14:textFill>
        </w:rPr>
      </w:pPr>
    </w:p>
    <w:p>
      <w:pPr>
        <w:pStyle w:val="2"/>
        <w:rPr>
          <w:rFonts w:ascii="仿宋" w:hAnsi="仿宋" w:eastAsia="仿宋"/>
          <w:color w:val="000000" w:themeColor="text1"/>
          <w:sz w:val="30"/>
          <w:szCs w:val="30"/>
          <w:highlight w:val="none"/>
          <w14:textFill>
            <w14:solidFill>
              <w14:schemeClr w14:val="tx1"/>
            </w14:solidFill>
          </w14:textFill>
        </w:rPr>
      </w:pPr>
      <w:bookmarkStart w:id="945" w:name="_Toc19595"/>
      <w:bookmarkStart w:id="946" w:name="_Toc118446916"/>
      <w:r>
        <w:rPr>
          <w:rFonts w:hint="eastAsia" w:ascii="仿宋" w:hAnsi="仿宋" w:eastAsia="仿宋"/>
          <w:color w:val="000000" w:themeColor="text1"/>
          <w:sz w:val="30"/>
          <w:szCs w:val="30"/>
          <w:highlight w:val="none"/>
          <w14:textFill>
            <w14:solidFill>
              <w14:schemeClr w14:val="tx1"/>
            </w14:solidFill>
          </w14:textFill>
        </w:rPr>
        <w:t>附件9 项目工程施工现场管理办法</w:t>
      </w:r>
      <w:bookmarkEnd w:id="945"/>
      <w:bookmarkEnd w:id="946"/>
    </w:p>
    <w:p>
      <w:pPr>
        <w:spacing w:line="360" w:lineRule="auto"/>
        <w:jc w:val="center"/>
        <w:rPr>
          <w:b/>
          <w:color w:val="000000" w:themeColor="text1"/>
          <w:highlight w:val="none"/>
          <w14:textFill>
            <w14:solidFill>
              <w14:schemeClr w14:val="tx1"/>
            </w14:solidFill>
          </w14:textFill>
        </w:rPr>
      </w:pPr>
      <w:r>
        <w:rPr>
          <w:rFonts w:ascii="宋体" w:hAnsi="宋体"/>
          <w:b/>
          <w:color w:val="000000" w:themeColor="text1"/>
          <w:sz w:val="24"/>
          <w:highlight w:val="none"/>
          <w:u w:val="single"/>
          <w14:textFill>
            <w14:solidFill>
              <w14:schemeClr w14:val="tx1"/>
            </w14:solidFill>
          </w14:textFill>
        </w:rPr>
        <w:t>粤海</w:t>
      </w:r>
      <w:r>
        <w:rPr>
          <w:rFonts w:hint="eastAsia" w:ascii="宋体" w:hAnsi="宋体"/>
          <w:b/>
          <w:color w:val="000000" w:themeColor="text1"/>
          <w:sz w:val="24"/>
          <w:highlight w:val="none"/>
          <w:u w:val="single"/>
          <w14:textFill>
            <w14:solidFill>
              <w14:schemeClr w14:val="tx1"/>
            </w14:solidFill>
          </w14:textFill>
        </w:rPr>
        <w:t>·</w:t>
      </w:r>
      <w:r>
        <w:rPr>
          <w:rFonts w:ascii="宋体" w:hAnsi="宋体"/>
          <w:b/>
          <w:color w:val="000000" w:themeColor="text1"/>
          <w:sz w:val="24"/>
          <w:highlight w:val="none"/>
          <w:u w:val="single"/>
          <w14:textFill>
            <w14:solidFill>
              <w14:schemeClr w14:val="tx1"/>
            </w14:solidFill>
          </w14:textFill>
        </w:rPr>
        <w:t>云港城</w:t>
      </w:r>
      <w:r>
        <w:rPr>
          <w:rFonts w:hint="eastAsia" w:ascii="宋体" w:hAnsi="宋体"/>
          <w:b/>
          <w:color w:val="000000" w:themeColor="text1"/>
          <w:sz w:val="24"/>
          <w:highlight w:val="none"/>
          <w:u w:val="single"/>
          <w14:textFill>
            <w14:solidFill>
              <w14:schemeClr w14:val="tx1"/>
            </w14:solidFill>
          </w14:textFill>
        </w:rPr>
        <w:t>项目</w:t>
      </w:r>
      <w:r>
        <w:rPr>
          <w:rFonts w:hint="eastAsia" w:ascii="宋体" w:hAnsi="宋体"/>
          <w:b/>
          <w:color w:val="000000" w:themeColor="text1"/>
          <w:sz w:val="24"/>
          <w:highlight w:val="none"/>
          <w14:textFill>
            <w14:solidFill>
              <w14:schemeClr w14:val="tx1"/>
            </w14:solidFill>
          </w14:textFill>
        </w:rPr>
        <w:t>工程施工现场管理办法</w:t>
      </w:r>
    </w:p>
    <w:p>
      <w:pPr>
        <w:spacing w:line="360" w:lineRule="auto"/>
        <w:rPr>
          <w:color w:val="000000" w:themeColor="text1"/>
          <w:highlight w:val="none"/>
          <w14:textFill>
            <w14:solidFill>
              <w14:schemeClr w14:val="tx1"/>
            </w14:solidFill>
          </w14:textFill>
        </w:rPr>
      </w:pPr>
    </w:p>
    <w:p>
      <w:pPr>
        <w:spacing w:line="360" w:lineRule="auto"/>
        <w:rPr>
          <w:rFonts w:asciiTheme="minorEastAsia" w:hAnsiTheme="minorEastAsia" w:eastAsiaTheme="minorEastAsia"/>
          <w:b/>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highlight w:val="none"/>
          <w14:textFill>
            <w14:solidFill>
              <w14:schemeClr w14:val="tx1"/>
            </w14:solidFill>
          </w14:textFill>
        </w:rPr>
        <w:t>1.目的</w:t>
      </w:r>
      <w:r>
        <w:rPr>
          <w:rFonts w:hint="eastAsia" w:cs="宋体" w:asciiTheme="minorEastAsia" w:hAnsiTheme="minorEastAsia" w:eastAsiaTheme="minorEastAsia"/>
          <w:b/>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为了加强对本工程总承包人、专业工程承包人、暂估价项目分包人的管理，使所选择的承包人能满足发包人的要求，以确保整个工程安全、质量和进度，并保证对承包人的管理更加规范、有效，达到统一管理,规范行动，特制订本制度。</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b/>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highlight w:val="none"/>
          <w14:textFill>
            <w14:solidFill>
              <w14:schemeClr w14:val="tx1"/>
            </w14:solidFill>
          </w14:textFill>
        </w:rPr>
        <w:t>2.适用范围</w:t>
      </w:r>
      <w:r>
        <w:rPr>
          <w:rFonts w:hint="eastAsia" w:cs="宋体" w:asciiTheme="minorEastAsia" w:hAnsiTheme="minorEastAsia" w:eastAsiaTheme="minorEastAsia"/>
          <w:b/>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本制度适用于</w:t>
      </w:r>
      <w:r>
        <w:rPr>
          <w:rFonts w:hint="eastAsia" w:asciiTheme="minorEastAsia" w:hAnsiTheme="minorEastAsia" w:eastAsiaTheme="minorEastAsia"/>
          <w:color w:val="000000" w:themeColor="text1"/>
          <w:highlight w:val="none"/>
          <w:u w:val="single"/>
          <w14:textFill>
            <w14:solidFill>
              <w14:schemeClr w14:val="tx1"/>
            </w14:solidFill>
          </w14:textFill>
        </w:rPr>
        <w:t>云港城项目</w:t>
      </w:r>
      <w:r>
        <w:rPr>
          <w:rFonts w:hint="eastAsia" w:asciiTheme="minorEastAsia" w:hAnsiTheme="minorEastAsia" w:eastAsiaTheme="minorEastAsia"/>
          <w:color w:val="000000" w:themeColor="text1"/>
          <w:highlight w:val="none"/>
          <w14:textFill>
            <w14:solidFill>
              <w14:schemeClr w14:val="tx1"/>
            </w14:solidFill>
          </w14:textFill>
        </w:rPr>
        <w:t>。任何按合同及协议进入现场的总承包人、专业工程承包人、暂估价项目分包人以及承包人的分包人均必须遵照执行。</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b/>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highlight w:val="none"/>
          <w14:textFill>
            <w14:solidFill>
              <w14:schemeClr w14:val="tx1"/>
            </w14:solidFill>
          </w14:textFill>
        </w:rPr>
        <w:t>3.发包人项目部职责</w:t>
      </w:r>
      <w:r>
        <w:rPr>
          <w:rFonts w:hint="eastAsia" w:cs="宋体" w:asciiTheme="minorEastAsia" w:hAnsiTheme="minorEastAsia" w:eastAsiaTheme="minorEastAsia"/>
          <w:b/>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3.1监督总承包人（含其分包）与专业工程承包人、暂估价项目分包人的质量管理、成品保护管理、资料管理、物资材料管理、工程预结算管理、环境体系管理及相关培训管理工作；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3.2监督总承包人（含其分包）与专业工程承包人、暂估价项目分包人的现场施工管理、计划管理、技术管理、计量管理及相关培训管理工作；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3.3监督总承包人（含其分包）与专业工程承包人、暂估价项目分包人的进场管理、教育培训管理和质量、环境、职业安全卫生体系运行管理、消防管理、现场安全生产管理、文明施工管理及相关培训管理工作；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3.4监督总承包人（含其分包）与专业工程承包人、暂估价项目分包人的机电管理、施工机械管理、施工机具管理、施工用电管理、施工用水管理及相关培训管理工作；</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3.5监督总承包人（含其分包）与专业工程承包人、暂估价项目分包人应承担的与各参建单位、政府、各相关职能部门的协调管理工作；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highlight w:val="none"/>
          <w14:textFill>
            <w14:solidFill>
              <w14:schemeClr w14:val="tx1"/>
            </w14:solidFill>
          </w14:textFill>
        </w:rPr>
        <w:t>4. 总承包人、专业工程承包人管理</w:t>
      </w:r>
      <w:r>
        <w:rPr>
          <w:rFonts w:hint="eastAsia" w:cs="宋体" w:asciiTheme="minorEastAsia" w:hAnsiTheme="minorEastAsia" w:eastAsiaTheme="minorEastAsia"/>
          <w:b/>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4.1组织管理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各承包人各自组建项目管理机构，并在开工前报发包人、监理单位，承包人所投入的工程管理人员和工程技术人员应与投标文件保持一致，发包人不要求更换时不得更换，因特殊情况需要更换的，承包人应至少提前7天以书面形式向监理单位提出意向（附前任和后任人员的详细履历资料），经监理工程师签署意见后向发包人提出申请，并征得发包人同意。承包人必须保证后任人员的资质、资历、业绩、实际工作能力不低于前任人员的素质。即使发包人同意更换，也不免除承包人应承担的违约责任。工程管理人员和工程技术人员的资格证书需报发包人、监理单位备案。</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发包人项目部、监理单位项目部每月对各承包人主要管理人员进行工作能力、协调能力、工作饱和度、积极性等综合考评，连续三次考评成绩不达标的将进行警告和通报，对综合能力不能胜任者将予以劝退及更换</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并按合同追究违约责任。</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4.2技术质量管理</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4.2.1施工技术管理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必须建立技术文件管理制度，因承包人原因造成的施工错误的一切后果自负。</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各承包人负责编制施工组织设计及本专业各类施工方案，负责方案的落实工作。施工前，首先由承包人项目部技术负责人对施工管理人员进行技术交底及安全技术交底，由施工管理人员给作业人员进行技术交底并指导施工，安全技术交底须明确交至每位作业人员并签字确认，并需将交底书面上报承包人项目部，项目总技术负责人、项目经理审批后方可依照施工。各承包人的分包人由各承包人的技术负责人对分包人技术负责人进行技术交底及安全技术交底，分包人技术负责人给作业人员进行技术交底并指导施工，安全技术交底须明确交至每位作业人员并签字确认，并需将交底书面上报总包项目部，项目总技术负责人、项目经理审批后方可依照施工。未经批准的各类施工方案及未经安全技术交底进行施工的，除立即停止施工外，每次收取违约金1000-20000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4.2.2设计变更、洽商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过程中发生的图纸、设计问题，由承包人技术负责人及时向监理单位及发包人工程师或负责人反映，由发包人与设计单位联系，并办理设计变更、洽商记录。施工过程中发生的图纸更改、洽商等，均由发包人统一下发给各相关承包人施工技术负责人；</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4.2.3材料管理及施工试验</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（1）各承包人负责编制本单位的材料、设备进场计划及施工试验计划，并报监理、发包人备案；需根据项目的材料设备进场计划时间，至少提前</w:t>
      </w:r>
      <w:r>
        <w:rPr>
          <w:rFonts w:asciiTheme="minorEastAsia" w:hAnsiTheme="minorEastAsia" w:eastAsiaTheme="minorEastAsia"/>
          <w:color w:val="000000" w:themeColor="text1"/>
          <w:highlight w:val="none"/>
          <w14:textFill>
            <w14:solidFill>
              <w14:schemeClr w14:val="tx1"/>
            </w14:solidFill>
          </w14:textFill>
        </w:rPr>
        <w:t>60</w:t>
      </w:r>
      <w:r>
        <w:rPr>
          <w:rFonts w:hint="eastAsia" w:asciiTheme="minorEastAsia" w:hAnsiTheme="minorEastAsia" w:eastAsiaTheme="minorEastAsia"/>
          <w:color w:val="000000" w:themeColor="text1"/>
          <w:highlight w:val="none"/>
          <w14:textFill>
            <w14:solidFill>
              <w14:schemeClr w14:val="tx1"/>
            </w14:solidFill>
          </w14:textFill>
        </w:rPr>
        <w:t>天进行材料设备品牌、型号送审工作，所选的材料设备品牌需在发包人提供的品牌范围内；所选材料设备型号的技术参数应满足设计图纸及发包人提供的技术参数要求，</w:t>
      </w:r>
      <w:r>
        <w:rPr>
          <w:rFonts w:asciiTheme="minorEastAsia" w:hAnsiTheme="minorEastAsia" w:eastAsiaTheme="minorEastAsia"/>
          <w:color w:val="000000" w:themeColor="text1"/>
          <w:highlight w:val="none"/>
          <w14:textFill>
            <w14:solidFill>
              <w14:schemeClr w14:val="tx1"/>
            </w14:solidFill>
          </w14:textFill>
        </w:rPr>
        <w:t>送审的主要设备材料技术参数必须与招标文件技术要求相一致。</w:t>
      </w:r>
      <w:r>
        <w:rPr>
          <w:rFonts w:hint="eastAsia" w:asciiTheme="minorEastAsia" w:hAnsiTheme="minorEastAsia" w:eastAsiaTheme="minorEastAsia"/>
          <w:color w:val="000000" w:themeColor="text1"/>
          <w:highlight w:val="none"/>
          <w14:textFill>
            <w14:solidFill>
              <w14:schemeClr w14:val="tx1"/>
            </w14:solidFill>
          </w14:textFill>
        </w:rPr>
        <w:t xml:space="preserve">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（2）施工单位需提供的材料基础资料包括但不限于如下所列：</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1</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《主要材料送审审批表》（表格按发包人提供）</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2</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设备材料厂家、供应商的营业执照、税务登记证。</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3</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设备材料的产品合格证</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4</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设备材料的型式检验报告</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5</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进口关税报单（进口产品）</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6</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品牌</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厂家的授权书</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7</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其它需要提供的证明、证书文件（如消防、认证、节能等）</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8</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所选用产品的技术参数及对应的样本</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9</w:t>
      </w:r>
      <w:r>
        <w:rPr>
          <w:rFonts w:hint="eastAsia" w:asciiTheme="minorEastAsia" w:hAnsiTheme="minorEastAsia" w:eastAsiaTheme="minorEastAsia"/>
          <w:color w:val="000000" w:themeColor="text1"/>
          <w:highlight w:val="none"/>
          <w14:textFill>
            <w14:solidFill>
              <w14:schemeClr w14:val="tx1"/>
            </w14:solidFill>
          </w14:textFill>
        </w:rPr>
        <w:t>）</w:t>
      </w:r>
      <w:r>
        <w:rPr>
          <w:rFonts w:asciiTheme="minorEastAsia" w:hAnsiTheme="minorEastAsia" w:eastAsiaTheme="minorEastAsia"/>
          <w:color w:val="000000" w:themeColor="text1"/>
          <w:highlight w:val="none"/>
          <w14:textFill>
            <w14:solidFill>
              <w14:schemeClr w14:val="tx1"/>
            </w14:solidFill>
          </w14:textFill>
        </w:rPr>
        <w:t xml:space="preserve"> </w:t>
      </w:r>
      <w:r>
        <w:rPr>
          <w:rFonts w:hint="eastAsia" w:asciiTheme="minorEastAsia" w:hAnsiTheme="minorEastAsia" w:eastAsiaTheme="minorEastAsia"/>
          <w:color w:val="000000" w:themeColor="text1"/>
          <w:highlight w:val="none"/>
          <w14:textFill>
            <w14:solidFill>
              <w14:schemeClr w14:val="tx1"/>
            </w14:solidFill>
          </w14:textFill>
        </w:rPr>
        <w:t>填写提供所选用产品型号的参数与技术文件的技术响应表、差异对比表</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材料、设备进场前承包人需完成进场报审工作，经发包人审批同意进场后，方可通知供应商安排材料设备进场，进场报审资料包括但不限于：承包人或其经审批的专业分包人与相关厂家或授权代理商签订的供货合同（注：授权代理商须提供项目授权或年度授权证明）、出厂合格证、各种产品质量认证证书、出厂试验报告、型式试验报告、第三方检测报告、相关保证函、厂家联系方式、验证方式、厂家确认的出货单等相关正规渠道出货证明。其中，进口材料设备还需要提供报关单、原产地证明、商检证明文件。进场后必须认真按有关标准、样板进行检验、试验，验收合格后方可报发包人，经发包人确认后方能使用。</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各承包人的材料计划、定板计划提交给监理单位审核后，报发包人。发包人根据实际情况启动材料看样定板审批程序，看样定板材料未经审批封存的不准进场投入施工需要。重点看样定板材料进场计划需提前60天报发包人项目部，予以对其在技术性能、经济指标、规格、颜色、所申报品牌/厂家是否符合发包人确定的品牌/厂家范围等方面进行审核。</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（5）本工程的材料、设备在制造、运输、安装等实施过程中，监理单位、发包人有权视需要采取形式不一的监督行为，施工单位须无条件配合。</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（6）</w:t>
      </w:r>
      <w:r>
        <w:rPr>
          <w:rFonts w:hint="eastAsia" w:asciiTheme="minorEastAsia" w:hAnsiTheme="minorEastAsia" w:eastAsiaTheme="minorEastAsia"/>
          <w:color w:val="000000" w:themeColor="text1"/>
          <w:highlight w:val="none"/>
          <w14:textFill>
            <w14:solidFill>
              <w14:schemeClr w14:val="tx1"/>
            </w14:solidFill>
          </w14:textFill>
        </w:rPr>
        <w:t>物料进场及施工过程中的试验必须听从监理单位及发包人工程师安排，执行见证取样规定经监理见证取样。物料进场不及时报验，每批次收取违约金2000元，如果发生物料、设备已用到工程上或发现不合格者，除全部拆除或退场外，每发生一次收取违约金5000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本工程的材料、设备的进场报验，监理单位、发包人有权视需要聘请第三方专业检测机构进行检测，施工单位须无条件配合并承担相关费用。</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发包人</w:t>
      </w:r>
      <w:r>
        <w:rPr>
          <w:rFonts w:hint="eastAsia" w:asciiTheme="minorEastAsia" w:hAnsiTheme="minorEastAsia" w:eastAsiaTheme="minorEastAsia"/>
          <w:color w:val="000000" w:themeColor="text1"/>
          <w:highlight w:val="none"/>
          <w14:textFill>
            <w14:solidFill>
              <w14:schemeClr w14:val="tx1"/>
            </w14:solidFill>
          </w14:textFill>
        </w:rPr>
        <w:t>抽检</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除根据政策要求的第三方检测和监理相关检测外，根据工程实际情况，发包人对有疑问、高价值、对效果有重大影响、易产生不合格品的材料设备有权实施抽检，计划内的抽检不得提出工期索赔。检验的结果证明该项材料、设备不符合合同要求的，因此增加的费用和（或）工期延误由承包人承担；检验结果证明该项材料、设备符合合同要求的，由发包人承担因此增加的费用和（或）工期延误。</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4.2.4施工测量</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由发包人工程师负责向承包人提供基准线，监理单位负责对承包人所放线进行校核工作；承包人测量员负责对基准线、点进行检查、维护工作。承包人使用的测量仪器必须是在有效期内、按经检测、校准确保合格后方可使用，并将有关检测证明资料报监理单位、发包人备案。</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发现测量仪器不在有效期内、按经检测、校准不合格而使用，每发生一次收取违约金2000元，并重新进行测量。</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4.2.5工序验收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各工序完成后，承包人首先进行自检，自检合格后，按照项目资料报验要求，报质检员验收，质检员验收合格后，报监理验收，监理验收合格后，报发包人验收，合格并书面签认后方可进行下道工序。分包人：首先进行自检，自检合格后，由分包人质检员按照项目资料报验要求，报总包质检员验收，质检员验收合格后，报监理验收，监理验收合格后，报发包人验收，合格并书面签认后方可进行下道工序。未经验收合格签字而进行下道工序施工的，除全部拆除返工外，每发生一次收取违约金1000-30000元</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所有分包人人员不得直接找监理、发包人、设计报验，所有检验、试验等均由项目总包单位报验监理单位、发包人、设计单位。</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4.2.6质量管理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本工程质量管理目标：确保合格工程，争创市样板工程奖。</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对此目标，各承包人必须建立质量管理体系，有明确的职责分工和管理程序，并报监理单位及发包人认可后组织实施，在实施过程中接受监理、发包人的监督管理。承包人质检员必须严格按标准规范、《建筑工程质量通病防治手册》和本单位编制的质量目标进行自检、验收，自检合格后报验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为保证工程质量，使承包人、监理单位、发包人对现场施工工艺及质量标准达成共识，实行样板制度。实行“样板先行”制度既是对施工工艺的检验，也是对分项工程施工质量标准的确定；本工程所有分项工程均需做施工样板，各分项工程施工样板的展示及施工质量标准经监理单位、发包人验收合格后方可进行大面施工，样板展示内容包括：现浇混凝土观感样板、砌筑工程的植筋样板、墙体砌筑样板、墙体抹灰样板、卫生间防水样板、墙体水电管预埋样板、外墙砖贴砖样板、屋面防水样板、门窗安装、装修样板等等。</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施工样板第一次验收不合格，进行整改并收取违约金2000元；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施工样板第二次验收不合格，进行整改并收取违约金5000元；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 xml:space="preserve">施工样板第三次验收不合格，施工队伍退场并收取违约金10000元； </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每个施工班组（队伍）在施工前均必须进行工程样板施工，样板、施工工艺经监理、发包人验收合格，该施工班组（队伍）方可进行大面积施工；经验收不合格，经整改还不达标的样板、施工工艺，该施工班组（队伍）应在2天内撤离现场，不配合或拒绝撤离现场，向责任单位收取违约金2000-10000元/天。</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装修、机电安装班组（队伍）必须具有类似工程经验，并在进场前提供近两年施工项目业绩，并配合项目部组织考察。考察不合格班组，不允许进场，已经进场的2天内撤离现场，不配合或拒绝撤离现场，向责任单位收取违约金2000-10000元/天。</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对监理、发包人提出的问题必须立即整改，局部整改或整改后仍然达不到要求的或未按规定时间整改的每次收取违约金1000元。施工过程中，必须严格遵守强制性条文，违反规范中强制性条文的必须全部整改，同时每发生一次收取违约金5000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4.2.7计量管理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每月25日前上报本月已完成工程量，经审核无误后方可上报监理单位，监理单位审核后报发包人进行审核计量计价。未经审核无误或延迟上报的完成工程量</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，发包人将无法按时拨付工程款。(未按约定时间上报当月工程量的，将自动累计到下月上报)</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4.2.8资料管理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本工程执行《</w:t>
      </w:r>
      <w:r>
        <w:rPr>
          <w:rFonts w:hint="eastAsia" w:asciiTheme="minorEastAsia" w:hAnsiTheme="minorEastAsia" w:eastAsiaTheme="minorEastAsia"/>
          <w:color w:val="000000" w:themeColor="text1"/>
          <w:highlight w:val="none"/>
          <w:u w:val="single"/>
          <w14:textFill>
            <w14:solidFill>
              <w14:schemeClr w14:val="tx1"/>
            </w14:solidFill>
          </w14:textFill>
        </w:rPr>
        <w:t>广东省</w:t>
      </w:r>
      <w:r>
        <w:rPr>
          <w:rFonts w:hint="eastAsia" w:asciiTheme="minorEastAsia" w:hAnsiTheme="minorEastAsia" w:eastAsiaTheme="minorEastAsia"/>
          <w:color w:val="000000" w:themeColor="text1"/>
          <w:highlight w:val="none"/>
          <w14:textFill>
            <w14:solidFill>
              <w14:schemeClr w14:val="tx1"/>
            </w14:solidFill>
          </w14:textFill>
        </w:rPr>
        <w:t>建筑工程资料规程》和全面实施的各种验收规范，各承包人应严格按监理单位及发包人规定执行资料报验，所有资料必须与工程进度同步进行，对迟报、漏报、不齐全、不真实、未与工程进度同步进行的每次收取违约金1000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过程中各类内业资料，如工程档案、安全内业、工程签证资料、工程日志、照录相声光资料及工程竣工验收档案资料必须按照发包人、监理单位和相关档案编制要求及时进行收集整理，分类归档，按时报送有关部门，违反上述规定收取违约金1</w:t>
      </w:r>
      <w:r>
        <w:rPr>
          <w:rFonts w:asciiTheme="minorEastAsia" w:hAnsiTheme="minorEastAsia" w:eastAsiaTheme="minorEastAsia"/>
          <w:color w:val="000000" w:themeColor="text1"/>
          <w:highlight w:val="none"/>
          <w14:textFill>
            <w14:solidFill>
              <w14:schemeClr w14:val="tx1"/>
            </w14:solidFill>
          </w14:textFill>
        </w:rPr>
        <w:t>00</w:t>
      </w:r>
      <w:r>
        <w:rPr>
          <w:rFonts w:hint="eastAsia" w:asciiTheme="minorEastAsia" w:hAnsiTheme="minorEastAsia" w:eastAsiaTheme="minorEastAsia"/>
          <w:color w:val="000000" w:themeColor="text1"/>
          <w:highlight w:val="none"/>
          <w14:textFill>
            <w14:solidFill>
              <w14:schemeClr w14:val="tx1"/>
            </w14:solidFill>
          </w14:textFill>
        </w:rPr>
        <w:t>0-5000元</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次；经发包人、监理检查存在不到位情况的，除限期整改外收取违约金10</w:t>
      </w:r>
      <w:r>
        <w:rPr>
          <w:rFonts w:asciiTheme="minorEastAsia" w:hAnsiTheme="minorEastAsia" w:eastAsiaTheme="minorEastAsia"/>
          <w:color w:val="000000" w:themeColor="text1"/>
          <w:highlight w:val="none"/>
          <w14:textFill>
            <w14:solidFill>
              <w14:schemeClr w14:val="tx1"/>
            </w14:solidFill>
          </w14:textFill>
        </w:rPr>
        <w:t>00</w:t>
      </w:r>
      <w:r>
        <w:rPr>
          <w:rFonts w:hint="eastAsia" w:asciiTheme="minorEastAsia" w:hAnsiTheme="minorEastAsia" w:eastAsiaTheme="minorEastAsia"/>
          <w:color w:val="000000" w:themeColor="text1"/>
          <w:highlight w:val="none"/>
          <w14:textFill>
            <w14:solidFill>
              <w14:schemeClr w14:val="tx1"/>
            </w14:solidFill>
          </w14:textFill>
        </w:rPr>
        <w:t>元</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次。</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分包人所承包范围内资料的编制与整理按照相关规范、规程进行整理，分包人的竣工图及施工资料应在指定的期限内自行编制完成，并符合有关规定，每周每月接受总包单位、监理、发包人检查，经总包单位、监理、发包人检查合格后方可进行竣工结算。</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4.2.9例会制度</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每周二下午2点30分举行定期工程例会，各参建单位应按时参加（另：根据工程需要不定期举行专项协调会），迟到者每次收取违约金300元。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参加会议</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要求至少必须有项目经理负责人、技术总负责人、质量、安全、资料各一名及发包人要求出席的人员，以上人员无故缺席每次收取违约金1000元。</w:t>
      </w:r>
    </w:p>
    <w:p>
      <w:pPr>
        <w:autoSpaceDE w:val="0"/>
        <w:autoSpaceDN w:val="0"/>
        <w:adjustRightInd w:val="0"/>
        <w:spacing w:line="360" w:lineRule="auto"/>
        <w:ind w:firstLine="315" w:firstLineChars="150"/>
        <w:jc w:val="left"/>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工程例会主持人员：总监理工程师。安全例会主持人员:监理安全负责人。会议纪要由项目监理部整理并报送发包人及各参建单位。各参建单位每周一下午3：00前向监理提交周报，监理将周报汇总后报发包人。</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4.2.10成品保护</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各单位在施工过程中必须采取切实有效的措施，保护自身及其他专业（单位）施工成品，如果因为施工不当对别人的成品造成破坏，除全额赔偿损失外，发包人将视影响情况收取违约金1000～10000元。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4.2.11奖惩</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在施工过程管理中，监理工程师、发包人工程师有权在自己的权限范围内对承包人安全文明施工防护措施、技术质量活动中不正确的地方进行经济或其它方式的惩处，如因承包人提出的工艺可行而导致的节约、提高质量、加快进度的，发包人应实施奖励。惩处和奖励的额度除上述明确规定的原则上由发包人确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4.3施工进度控制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4.3.1总进度计划</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根据本工程编制的工程总体进度计划，各专业单位根据自身施工特点编制本专业施工的总进度计划，报监理、发包人审核确认，并将总计划进行量化分解，每周一下午16:00之前上报下周施工计划，每月25日上报下月施工计划，便于监理、发包人进行有效监控管理。</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4.3.2管理措施</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（1）不按时上报分解计划的，每次收取违约金1000元，所报计划无量化指标者每收取违约金1000元。</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（2）施工进度与计划滞后而不采取有效措施者，监理、发包人有权视具体情况进行下列处罚： 收取违约金1000～20000元。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（3）严格</w:t>
      </w:r>
      <w:r>
        <w:rPr>
          <w:rFonts w:hint="eastAsia" w:asciiTheme="minorEastAsia" w:hAnsiTheme="minorEastAsia" w:eastAsiaTheme="minorEastAsia"/>
          <w:color w:val="000000" w:themeColor="text1"/>
          <w:highlight w:val="none"/>
          <w14:textFill>
            <w14:solidFill>
              <w14:schemeClr w14:val="tx1"/>
            </w14:solidFill>
          </w14:textFill>
        </w:rPr>
        <w:t>执行</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已经上报且经过监理、发包人审核同意的阶段性进度计划，若阶段性进度计划节点滞后，并对后续工作产生影响的，收取违约金 3</w:t>
      </w:r>
      <w:r>
        <w:rPr>
          <w:rFonts w:cs="宋体" w:asciiTheme="minorEastAsia" w:hAnsiTheme="minorEastAsia" w:eastAsiaTheme="minorEastAsia"/>
          <w:color w:val="000000" w:themeColor="text1"/>
          <w:kern w:val="0"/>
          <w:szCs w:val="21"/>
          <w:highlight w:val="none"/>
          <w14:textFill>
            <w14:solidFill>
              <w14:schemeClr w14:val="tx1"/>
            </w14:solidFill>
          </w14:textFill>
        </w:rPr>
        <w:t>000</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元</w:t>
      </w:r>
      <w:r>
        <w:rPr>
          <w:rFonts w:cs="宋体" w:asciiTheme="minorEastAsia" w:hAnsiTheme="minorEastAsia" w:eastAsiaTheme="minorEastAsia"/>
          <w:color w:val="000000" w:themeColor="text1"/>
          <w:kern w:val="0"/>
          <w:szCs w:val="21"/>
          <w:highlight w:val="none"/>
          <w14:textFill>
            <w14:solidFill>
              <w14:schemeClr w14:val="tx1"/>
            </w14:solidFill>
          </w14:textFill>
        </w:rPr>
        <w:t>/</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天；</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（4）施工</w:t>
      </w:r>
      <w:r>
        <w:rPr>
          <w:rFonts w:hint="eastAsia" w:asciiTheme="minorEastAsia" w:hAnsiTheme="minorEastAsia" w:eastAsiaTheme="minorEastAsia"/>
          <w:color w:val="000000" w:themeColor="text1"/>
          <w:highlight w:val="none"/>
          <w14:textFill>
            <w14:solidFill>
              <w14:schemeClr w14:val="tx1"/>
            </w14:solidFill>
          </w14:textFill>
        </w:rPr>
        <w:t>合同</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中已明确的大节点，施工单位应严格执行，若滞后将按合同有关条款收取违约金。</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（5）施工</w:t>
      </w:r>
      <w:r>
        <w:rPr>
          <w:rFonts w:hint="eastAsia" w:asciiTheme="minorEastAsia" w:hAnsiTheme="minorEastAsia" w:eastAsiaTheme="minorEastAsia"/>
          <w:color w:val="000000" w:themeColor="text1"/>
          <w:highlight w:val="none"/>
          <w14:textFill>
            <w14:solidFill>
              <w14:schemeClr w14:val="tx1"/>
            </w14:solidFill>
          </w14:textFill>
        </w:rPr>
        <w:t>单位</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因劳动人员组织不力，工程材料以及施工机具设备、周转材料等组织不到位，</w:t>
      </w:r>
    </w:p>
    <w:p>
      <w:pPr>
        <w:autoSpaceDE w:val="0"/>
        <w:autoSpaceDN w:val="0"/>
        <w:adjustRightInd w:val="0"/>
        <w:spacing w:line="500" w:lineRule="exact"/>
        <w:jc w:val="left"/>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而影响工程进度或对其它施工单位的进度造成影响， 收取违约金3</w:t>
      </w:r>
      <w:r>
        <w:rPr>
          <w:rFonts w:cs="宋体" w:asciiTheme="minorEastAsia" w:hAnsiTheme="minorEastAsia" w:eastAsiaTheme="minorEastAsia"/>
          <w:color w:val="000000" w:themeColor="text1"/>
          <w:kern w:val="0"/>
          <w:szCs w:val="21"/>
          <w:highlight w:val="none"/>
          <w14:textFill>
            <w14:solidFill>
              <w14:schemeClr w14:val="tx1"/>
            </w14:solidFill>
          </w14:textFill>
        </w:rPr>
        <w:t>000</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元</w:t>
      </w:r>
      <w:r>
        <w:rPr>
          <w:rFonts w:cs="宋体" w:asciiTheme="minorEastAsia" w:hAnsiTheme="minorEastAsia" w:eastAsiaTheme="minorEastAsia"/>
          <w:color w:val="000000" w:themeColor="text1"/>
          <w:kern w:val="0"/>
          <w:szCs w:val="21"/>
          <w:highlight w:val="none"/>
          <w14:textFill>
            <w14:solidFill>
              <w14:schemeClr w14:val="tx1"/>
            </w14:solidFill>
          </w14:textFill>
        </w:rPr>
        <w:t>/</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天。</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（6）必须按发包人统一部署，确保外协单位及时进场，提供合理的工作面，对故意不执行发包人要求的，</w:t>
      </w:r>
      <w:r>
        <w:rPr>
          <w:rFonts w:cs="宋体" w:asciiTheme="minorEastAsia" w:hAnsiTheme="minorEastAsia" w:eastAsiaTheme="minorEastAsia"/>
          <w:color w:val="000000" w:themeColor="text1"/>
          <w:kern w:val="0"/>
          <w:szCs w:val="21"/>
          <w:highlight w:val="none"/>
          <w14:textFill>
            <w14:solidFill>
              <w14:schemeClr w14:val="tx1"/>
            </w14:solidFill>
          </w14:textFill>
        </w:rPr>
        <w:t xml:space="preserve"> </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收取违约金</w:t>
      </w:r>
      <w:r>
        <w:rPr>
          <w:rFonts w:cs="宋体" w:asciiTheme="minorEastAsia" w:hAnsiTheme="minorEastAsia" w:eastAsiaTheme="minorEastAsia"/>
          <w:color w:val="000000" w:themeColor="text1"/>
          <w:kern w:val="0"/>
          <w:szCs w:val="21"/>
          <w:highlight w:val="none"/>
          <w14:textFill>
            <w14:solidFill>
              <w14:schemeClr w14:val="tx1"/>
            </w14:solidFill>
          </w14:textFill>
        </w:rPr>
        <w:t>2000</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元</w:t>
      </w:r>
      <w:r>
        <w:rPr>
          <w:rFonts w:cs="宋体" w:asciiTheme="minorEastAsia" w:hAnsiTheme="minorEastAsia" w:eastAsiaTheme="minorEastAsia"/>
          <w:color w:val="000000" w:themeColor="text1"/>
          <w:kern w:val="0"/>
          <w:szCs w:val="21"/>
          <w:highlight w:val="none"/>
          <w14:textFill>
            <w14:solidFill>
              <w14:schemeClr w14:val="tx1"/>
            </w14:solidFill>
          </w14:textFill>
        </w:rPr>
        <w:t>/</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次。</w:t>
      </w:r>
    </w:p>
    <w:p>
      <w:pPr>
        <w:spacing w:line="360" w:lineRule="auto"/>
        <w:ind w:firstLine="420" w:firstLineChars="200"/>
        <w:rPr>
          <w:rFonts w:cs="宋体" w:asciiTheme="minorEastAsia" w:hAnsiTheme="minorEastAsia" w:eastAsiaTheme="minorEastAsia"/>
          <w:color w:val="000000" w:themeColor="text1"/>
          <w:kern w:val="0"/>
          <w:szCs w:val="21"/>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（7）必须</w:t>
      </w:r>
      <w:r>
        <w:rPr>
          <w:rFonts w:hint="eastAsia" w:asciiTheme="minorEastAsia" w:hAnsiTheme="minorEastAsia" w:eastAsiaTheme="minorEastAsia"/>
          <w:color w:val="000000" w:themeColor="text1"/>
          <w:highlight w:val="none"/>
          <w14:textFill>
            <w14:solidFill>
              <w14:schemeClr w14:val="tx1"/>
            </w14:solidFill>
          </w14:textFill>
        </w:rPr>
        <w:t>按照</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发包人的相关要求按时上报月报、周报、进度计划等有关资料，违者收取违约金</w:t>
      </w:r>
      <w:r>
        <w:rPr>
          <w:rFonts w:cs="宋体" w:asciiTheme="minorEastAsia" w:hAnsiTheme="minorEastAsia" w:eastAsiaTheme="minorEastAsia"/>
          <w:color w:val="000000" w:themeColor="text1"/>
          <w:kern w:val="0"/>
          <w:szCs w:val="21"/>
          <w:highlight w:val="none"/>
          <w14:textFill>
            <w14:solidFill>
              <w14:schemeClr w14:val="tx1"/>
            </w14:solidFill>
          </w14:textFill>
        </w:rPr>
        <w:t>1</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0</w:t>
      </w:r>
      <w:r>
        <w:rPr>
          <w:rFonts w:cs="宋体" w:asciiTheme="minorEastAsia" w:hAnsiTheme="minorEastAsia" w:eastAsiaTheme="minorEastAsia"/>
          <w:color w:val="000000" w:themeColor="text1"/>
          <w:kern w:val="0"/>
          <w:szCs w:val="21"/>
          <w:highlight w:val="none"/>
          <w14:textFill>
            <w14:solidFill>
              <w14:schemeClr w14:val="tx1"/>
            </w14:solidFill>
          </w14:textFill>
        </w:rPr>
        <w:t>00</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元</w:t>
      </w:r>
      <w:r>
        <w:rPr>
          <w:rFonts w:cs="宋体" w:asciiTheme="minorEastAsia" w:hAnsiTheme="minorEastAsia" w:eastAsiaTheme="minorEastAsia"/>
          <w:color w:val="000000" w:themeColor="text1"/>
          <w:kern w:val="0"/>
          <w:szCs w:val="21"/>
          <w:highlight w:val="none"/>
          <w14:textFill>
            <w14:solidFill>
              <w14:schemeClr w14:val="tx1"/>
            </w14:solidFill>
          </w14:textFill>
        </w:rPr>
        <w:t>/</w:t>
      </w: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次。</w:t>
      </w:r>
    </w:p>
    <w:p>
      <w:pPr>
        <w:spacing w:line="360" w:lineRule="auto"/>
        <w:ind w:firstLine="420" w:firstLineChars="200"/>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Cs w:val="21"/>
          <w:highlight w:val="none"/>
          <w14:textFill>
            <w14:solidFill>
              <w14:schemeClr w14:val="tx1"/>
            </w14:solidFill>
          </w14:textFill>
        </w:rPr>
        <w:t>（8）各施工单位必须遵从监理、发包人发出的指令，不得以指令所涉及费用未确定或找不到实施队伍为借口不执行或拖延执行。若施工单位未在合理时间内执行，或在收到发包人、监理催促执行的书面通知后3天内仍未执行，则发包人有权聘请第三方执行该指令所要求的工作，由此产生的费用全部由责任方承担，发包人将从其承包合同款项中直接划扣该部分费用。同时对责任单位按每次5000-50000元收取违约金。情节特别严重，发包人有权解除合同并追究施工单位违约责任。</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4.4现场管理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（1）分包人进入现场施工人员必须统一着装、统一戴安全帽、并随身携带出入证件。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（2）现场内的布置必须经过监理、发包人审批，所有标牌、标志的张贴悬挂，由总包单位按规定制作。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（3）分包人施工管理人员须着装整洁，头发理顺，注意举止行为。</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（4）分包人对公司的函件必须统一格式、正式打印、有统一编号，并且有负责人签字或单位公章，否则监理、发包人将拒收。</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（5）进入施工区域戴好安全帽，并符合规定。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（6）现场内严禁随地大小便，违者收取违约金小便200元/人</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次，大便300元/人次。</w:t>
      </w: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（无法界定责任者均归咎于总包单位）</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（7）爱护现场内的安全、消防、测量、照明设施及有关标牌等，违者收取违约金200元/人，并负责赔偿损失。</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（8）现场内严禁乱抛垃圾、烟头、水果皮、废纸等，否则每起收取违约金100元/人。</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（9）施工现场、生活区严禁带有金钱性质的赌博，酗酒行为，否则对承包人负任人收取违约金1000元/次。</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4.5安全、环境、文明施工管理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4.5.1安全管理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（1）承包人现场成立安全文明施工防护措施领导小组，切实加强施工全过程的安全管理，确保工人在劳动过程中的安全与健康。</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（2）承包人施工管理人员、工程技术人员，操作工人必须熟悉和掌握本工种的“安全技术操作规程”，否则不许参加施工。</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（3）认真坚持安全自检制度，搞好隐患整改，并做到定人、定时间、定措施。</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（4）新入场及变换工种人员必须经过安全教育，上岗作业前必须进行安全技术交底。</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（5）特种作业人员必须经安全技术培训，考试合格持证上岗作业。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（6）进入施工现场必须正确戴好安全帽，高处作业系牢安全带。正确使用个人防护用品。</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（7）施工现场内严禁穿高跟鞋、拖鞋，光脚，赤裸上身作业。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施工中的“四口”（即楼梯口、电梯口、预留洞口、通道口），“五临边”（尚未安装好的阳台边、无外架防护的屋面周边、框架工程楼层周边、跑道（斜道）两侧边、卸料台的外侧边）必须有严密、牢固的安全防护设施，任何人不许改动和破坏。</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（9）现场的机电设备、电动工具、供电设施中持证电工操作，严禁非电气工人乱接乱动。</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（10）一切机械设备和垂直运输、超重机械的安全防护及保险装置必须齐全，灵敏可靠，严禁非机械人员随意开动机械设备。</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（11）工程中使用的易燃易爆物品，有毒、有害物品要严格保管使用。</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（12）现场道路要畅通，料具堆放要整齐、安全。危险部位和场应设置安全标志牌。夜间要设红灯示警。</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（13）非施工人员不得擅自进入现场。</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（14）施工现场禁止抽烟。</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（15）现场集水井、排水沟等易积水地方的积水要及时清理，防止疾病传播。</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违反以上各条安全管理制度的，视情况每次处收取违约金100-2000元。</w:t>
      </w:r>
      <w:r>
        <w:rPr>
          <w:rFonts w:hint="eastAsia" w:cs="宋体" w:asciiTheme="minorEastAsia" w:hAnsiTheme="minorEastAsia" w:eastAsiaTheme="minorEastAsia"/>
          <w:color w:val="000000" w:themeColor="text1"/>
          <w:highlight w:val="none"/>
          <w14:textFill>
            <w14:solidFill>
              <w14:schemeClr w14:val="tx1"/>
            </w14:solidFill>
          </w14:textFill>
        </w:rPr>
        <w:t> </w:t>
      </w:r>
    </w:p>
    <w:p>
      <w:pPr>
        <w:autoSpaceDE w:val="0"/>
        <w:autoSpaceDN w:val="0"/>
        <w:adjustRightInd w:val="0"/>
        <w:spacing w:line="360" w:lineRule="auto"/>
        <w:ind w:firstLine="420" w:firstLineChars="200"/>
        <w:jc w:val="lef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生产是工程建设的重中之重，各参建单位必须按照安全生产的有关安全规章制度组织各项工作，建立健全安全保障体系和各项安全制度，制定专项安全施工方案，对作业人员认真作好各级安全教育和安全技术交底，若不进行安全教育与交底的，按下表进行处罚；加强对作业人员的安全保护，原则上不进行立体交叉作业，当必须进行时，应采取可靠的安全措施，违反安全生产的有关规定或疏忽管理造成重伤事故以上的收取违约金</w:t>
      </w:r>
      <w:r>
        <w:rPr>
          <w:rFonts w:asciiTheme="minorEastAsia" w:hAnsiTheme="minorEastAsia" w:eastAsiaTheme="minorEastAsia"/>
          <w:color w:val="000000" w:themeColor="text1"/>
          <w:highlight w:val="none"/>
          <w14:textFill>
            <w14:solidFill>
              <w14:schemeClr w14:val="tx1"/>
            </w14:solidFill>
          </w14:textFill>
        </w:rPr>
        <w:t>10000</w:t>
      </w:r>
      <w:r>
        <w:rPr>
          <w:rFonts w:hint="eastAsia" w:asciiTheme="minorEastAsia" w:hAnsiTheme="minorEastAsia" w:eastAsiaTheme="minorEastAsia"/>
          <w:color w:val="000000" w:themeColor="text1"/>
          <w:highlight w:val="none"/>
          <w14:textFill>
            <w14:solidFill>
              <w14:schemeClr w14:val="tx1"/>
            </w14:solidFill>
          </w14:textFill>
        </w:rPr>
        <w:t>元</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次；造成轻伤事故的收取违约金</w:t>
      </w:r>
      <w:r>
        <w:rPr>
          <w:rFonts w:asciiTheme="minorEastAsia" w:hAnsiTheme="minorEastAsia" w:eastAsiaTheme="minorEastAsia"/>
          <w:color w:val="000000" w:themeColor="text1"/>
          <w:highlight w:val="none"/>
          <w14:textFill>
            <w14:solidFill>
              <w14:schemeClr w14:val="tx1"/>
            </w14:solidFill>
          </w14:textFill>
        </w:rPr>
        <w:t>1000</w:t>
      </w:r>
      <w:r>
        <w:rPr>
          <w:rFonts w:hint="eastAsia" w:asciiTheme="minorEastAsia" w:hAnsiTheme="minorEastAsia" w:eastAsiaTheme="minorEastAsia"/>
          <w:color w:val="000000" w:themeColor="text1"/>
          <w:highlight w:val="none"/>
          <w14:textFill>
            <w14:solidFill>
              <w14:schemeClr w14:val="tx1"/>
            </w14:solidFill>
          </w14:textFill>
        </w:rPr>
        <w:t>元</w:t>
      </w:r>
      <w:r>
        <w:rPr>
          <w:rFonts w:asciiTheme="minorEastAsia" w:hAnsiTheme="minorEastAsia" w:eastAsiaTheme="minorEastAsia"/>
          <w:color w:val="000000" w:themeColor="text1"/>
          <w:highlight w:val="none"/>
          <w14:textFill>
            <w14:solidFill>
              <w14:schemeClr w14:val="tx1"/>
            </w14:solidFill>
          </w14:textFill>
        </w:rPr>
        <w:t>/</w:t>
      </w:r>
      <w:r>
        <w:rPr>
          <w:rFonts w:hint="eastAsia" w:asciiTheme="minorEastAsia" w:hAnsiTheme="minorEastAsia" w:eastAsiaTheme="minorEastAsia"/>
          <w:color w:val="000000" w:themeColor="text1"/>
          <w:highlight w:val="none"/>
          <w14:textFill>
            <w14:solidFill>
              <w14:schemeClr w14:val="tx1"/>
            </w14:solidFill>
          </w14:textFill>
        </w:rPr>
        <w:t>次。</w:t>
      </w:r>
    </w:p>
    <w:p>
      <w:pPr>
        <w:autoSpaceDE w:val="0"/>
        <w:autoSpaceDN w:val="0"/>
        <w:adjustRightInd w:val="0"/>
        <w:spacing w:line="500" w:lineRule="exact"/>
        <w:jc w:val="left"/>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 w:val="24"/>
          <w:szCs w:val="24"/>
          <w:highlight w:val="none"/>
          <w14:textFill>
            <w14:solidFill>
              <w14:schemeClr w14:val="tx1"/>
            </w14:solidFill>
          </w14:textFill>
        </w:rPr>
        <w:t>A.安全管理</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89"/>
        <w:gridCol w:w="1417"/>
        <w:gridCol w:w="5004"/>
        <w:gridCol w:w="15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0" w:hRule="atLeast"/>
          <w:jc w:val="center"/>
        </w:trPr>
        <w:tc>
          <w:tcPr>
            <w:tcW w:w="489"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序</w:t>
            </w:r>
          </w:p>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号</w:t>
            </w:r>
          </w:p>
        </w:tc>
        <w:tc>
          <w:tcPr>
            <w:tcW w:w="1417"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项目</w:t>
            </w:r>
          </w:p>
        </w:tc>
        <w:tc>
          <w:tcPr>
            <w:tcW w:w="5004"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检查标准</w:t>
            </w:r>
          </w:p>
        </w:tc>
        <w:tc>
          <w:tcPr>
            <w:tcW w:w="1522"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违约金标准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48"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安全管理员</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安全员无安全员证或安全负责人无国家认可的资格证书的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安全员不了解本身职责的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安全员不懂各工种安全技术操作规程，不能有效履职的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安全员不在岗位的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安全员对施工中的安全不能做到有效管控的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300-1000元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3</w:t>
            </w:r>
          </w:p>
        </w:tc>
        <w:tc>
          <w:tcPr>
            <w:tcW w:w="1417"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安全检查</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现场无定期安全检查的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安全检查无记录的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200--500元／人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17"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查出事故隐患整改做不到定时、定人、定措施的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项目经理两周内未参加安全检查的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对事故隐患整改通知书所列项目未按要求完成的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未按要求填报安全工作月报表的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300-1000元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安全教育</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现场施工人员中未登记备案或三证不齐的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抽考工人安全知识及安全操作规程不合格的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新进场工人未进行施工安全教育的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未存三级安全教育记录、考试卷的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工人安全培训学习每月不足两小时的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w:t>
            </w:r>
          </w:p>
        </w:tc>
        <w:tc>
          <w:tcPr>
            <w:tcW w:w="1417"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特种作业</w:t>
            </w:r>
          </w:p>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人员</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特种作业人员未列册登记备案的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未随身携带证件从事特种作业的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17"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无证从事特种作业的或者证件过期、无年审</w:t>
            </w:r>
          </w:p>
        </w:tc>
        <w:tc>
          <w:tcPr>
            <w:tcW w:w="1522" w:type="dxa"/>
            <w:vAlign w:val="center"/>
          </w:tcPr>
          <w:p>
            <w:pPr>
              <w:spacing w:line="280" w:lineRule="exact"/>
              <w:ind w:firstLine="160" w:firstLineChars="100"/>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30"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w:t>
            </w:r>
          </w:p>
        </w:tc>
        <w:tc>
          <w:tcPr>
            <w:tcW w:w="1417"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分部（分项）工程安全技术交底</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无书面安全技术交底的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安全标志</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无现场安全标志平面图的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现场未按安全标志平面图设置安全标志的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200元／项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70" w:hRule="atLeast"/>
          <w:jc w:val="center"/>
        </w:trPr>
        <w:tc>
          <w:tcPr>
            <w:tcW w:w="489"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班前安全</w:t>
            </w:r>
          </w:p>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活动</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未建立班前和每周安全活动制度的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班前和每周安全活动无记录或记录不全的</w:t>
            </w:r>
          </w:p>
        </w:tc>
        <w:tc>
          <w:tcPr>
            <w:tcW w:w="152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300元</w:t>
            </w:r>
          </w:p>
        </w:tc>
      </w:tr>
    </w:tbl>
    <w:p>
      <w:pPr>
        <w:autoSpaceDE w:val="0"/>
        <w:autoSpaceDN w:val="0"/>
        <w:adjustRightInd w:val="0"/>
        <w:spacing w:line="500" w:lineRule="exact"/>
        <w:jc w:val="left"/>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 w:val="24"/>
          <w:szCs w:val="24"/>
          <w:highlight w:val="none"/>
          <w14:textFill>
            <w14:solidFill>
              <w14:schemeClr w14:val="tx1"/>
            </w14:solidFill>
          </w14:textFill>
        </w:rPr>
        <w:t>B.“三宝”、“四口”、防护管理</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22"/>
        <w:gridCol w:w="1417"/>
        <w:gridCol w:w="5004"/>
        <w:gridCol w:w="155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1" w:hRule="atLeast"/>
          <w:jc w:val="center"/>
        </w:trPr>
        <w:tc>
          <w:tcPr>
            <w:tcW w:w="522"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序</w:t>
            </w:r>
          </w:p>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号</w:t>
            </w:r>
          </w:p>
        </w:tc>
        <w:tc>
          <w:tcPr>
            <w:tcW w:w="1417"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项目</w:t>
            </w:r>
          </w:p>
        </w:tc>
        <w:tc>
          <w:tcPr>
            <w:tcW w:w="5004"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检查标准</w:t>
            </w:r>
          </w:p>
        </w:tc>
        <w:tc>
          <w:tcPr>
            <w:tcW w:w="1554"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违约金标准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0"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安全帽</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不戴安全帽的; 未戴安全帽者，班组人员处罚50元/次，管理人员处罚100元/次。</w:t>
            </w:r>
          </w:p>
          <w:p>
            <w:pPr>
              <w:spacing w:line="280" w:lineRule="exact"/>
              <w:rPr>
                <w:rFonts w:asciiTheme="minorEastAsia" w:hAnsiTheme="minorEastAsia" w:eastAsiaTheme="minorEastAsia"/>
                <w:dstrike/>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安全帽不符合标准的（有效期、合格证）</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100元／人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5" w:hRule="atLeast"/>
          <w:jc w:val="center"/>
        </w:trPr>
        <w:tc>
          <w:tcPr>
            <w:tcW w:w="522"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w:t>
            </w:r>
          </w:p>
        </w:tc>
        <w:tc>
          <w:tcPr>
            <w:tcW w:w="1417" w:type="dxa"/>
            <w:vMerge w:val="restart"/>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安全网</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安全网规格、材质不符合要求，安全网未取得建筑安全监督部门生产许可证的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p>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2000元/项</w:t>
            </w:r>
          </w:p>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11" w:hRule="atLeast"/>
          <w:jc w:val="center"/>
        </w:trPr>
        <w:tc>
          <w:tcPr>
            <w:tcW w:w="522"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17" w:type="dxa"/>
            <w:vMerge w:val="continue"/>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安全网未能满足进度要求的，擅自损坏、拆除、移动安全防护装置、安全标志、警示牌的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500-1500元/次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79" w:hRule="atLeast"/>
          <w:jc w:val="center"/>
        </w:trPr>
        <w:tc>
          <w:tcPr>
            <w:tcW w:w="522"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asciiTheme="minorEastAsia" w:hAnsiTheme="minorEastAsia" w:eastAsiaTheme="minorEastAsia"/>
                <w:color w:val="000000" w:themeColor="text1"/>
                <w:highlight w:val="none"/>
                <w14:textFill>
                  <w14:solidFill>
                    <w14:schemeClr w14:val="tx1"/>
                  </w14:solidFill>
                </w14:textFill>
              </w:rPr>
              <w:t>3</w:t>
            </w:r>
          </w:p>
        </w:tc>
        <w:tc>
          <w:tcPr>
            <w:tcW w:w="1417"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安全带</w:t>
            </w:r>
          </w:p>
        </w:tc>
        <w:tc>
          <w:tcPr>
            <w:tcW w:w="500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高处作业未系安全带的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高处作业安全带系扣不符合要求的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安全带不符合生产标准要求的</w:t>
            </w:r>
          </w:p>
        </w:tc>
        <w:tc>
          <w:tcPr>
            <w:tcW w:w="1554"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200元／人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cantSplit/>
          <w:trHeight w:val="963" w:hRule="atLeast"/>
          <w:jc w:val="center"/>
        </w:trPr>
        <w:tc>
          <w:tcPr>
            <w:tcW w:w="522"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w:t>
            </w:r>
          </w:p>
        </w:tc>
        <w:tc>
          <w:tcPr>
            <w:tcW w:w="1417"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楼梯口、电梯井口防护</w:t>
            </w:r>
          </w:p>
        </w:tc>
        <w:tc>
          <w:tcPr>
            <w:tcW w:w="500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楼梯口、电梯井口无安全防护</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防护措施不符合要求或不严密的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电梯井内每隔两层（不大于10m）无平网的</w:t>
            </w:r>
          </w:p>
        </w:tc>
        <w:tc>
          <w:tcPr>
            <w:tcW w:w="1554"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823"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预留洞口（管</w:t>
            </w:r>
          </w:p>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井口、坑井口）防护</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无有效的安全防护措施的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措施不符合要求或不严密的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976"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w:t>
            </w:r>
          </w:p>
        </w:tc>
        <w:tc>
          <w:tcPr>
            <w:tcW w:w="1417" w:type="dxa"/>
            <w:vAlign w:val="center"/>
          </w:tcPr>
          <w:p>
            <w:pPr>
              <w:spacing w:line="280" w:lineRule="exact"/>
              <w:jc w:val="center"/>
              <w:rPr>
                <w:rFonts w:asciiTheme="minorEastAsia" w:hAnsiTheme="minorEastAsia" w:eastAsiaTheme="minorEastAsia"/>
                <w:color w:val="000000" w:themeColor="text1"/>
                <w:spacing w:val="-10"/>
                <w:highlight w:val="none"/>
                <w14:textFill>
                  <w14:solidFill>
                    <w14:schemeClr w14:val="tx1"/>
                  </w14:solidFill>
                </w14:textFill>
              </w:rPr>
            </w:pPr>
            <w:r>
              <w:rPr>
                <w:rFonts w:hint="eastAsia" w:asciiTheme="minorEastAsia" w:hAnsiTheme="minorEastAsia" w:eastAsiaTheme="minorEastAsia"/>
                <w:color w:val="000000" w:themeColor="text1"/>
                <w:spacing w:val="-10"/>
                <w:highlight w:val="none"/>
                <w14:textFill>
                  <w14:solidFill>
                    <w14:schemeClr w14:val="tx1"/>
                  </w14:solidFill>
                </w14:textFill>
              </w:rPr>
              <w:t>通道口、提升架出入口、加工区防护</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无防护棚的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防护不严的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防护棚不牢固、材质不符合要求的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18"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阳台、楼板、屋面、脚手架、通道口等临边防护．</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无有效安全措施的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临边防护不符合要求的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62"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外脚手架</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未能按照施工组织设计搭设的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外脚手架未能跟上施工进度的，脚手架未满挂安全网</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擅自拆除连墙件、大小横杆、立杆的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堆放材料，存在安全隐患或阻塞通道的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99" w:hRule="atLeast"/>
          <w:jc w:val="center"/>
        </w:trPr>
        <w:tc>
          <w:tcPr>
            <w:tcW w:w="522"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9</w:t>
            </w:r>
          </w:p>
        </w:tc>
        <w:tc>
          <w:tcPr>
            <w:tcW w:w="1417"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模板工程</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未按照施工组织设计进行搭设的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擅自拆模或拆模管理不到位的</w:t>
            </w:r>
          </w:p>
        </w:tc>
        <w:tc>
          <w:tcPr>
            <w:tcW w:w="1554"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200-1000/处</w:t>
            </w:r>
          </w:p>
        </w:tc>
      </w:tr>
    </w:tbl>
    <w:p>
      <w:pPr>
        <w:autoSpaceDE w:val="0"/>
        <w:autoSpaceDN w:val="0"/>
        <w:adjustRightInd w:val="0"/>
        <w:spacing w:line="500" w:lineRule="exact"/>
        <w:jc w:val="left"/>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 w:val="24"/>
          <w:szCs w:val="24"/>
          <w:highlight w:val="none"/>
          <w14:textFill>
            <w14:solidFill>
              <w14:schemeClr w14:val="tx1"/>
            </w14:solidFill>
          </w14:textFill>
        </w:rPr>
        <w:t xml:space="preserve">C、施工用电管理 </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44"/>
        <w:gridCol w:w="1417"/>
        <w:gridCol w:w="5004"/>
        <w:gridCol w:w="1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95" w:hRule="atLeast"/>
          <w:jc w:val="center"/>
        </w:trPr>
        <w:tc>
          <w:tcPr>
            <w:tcW w:w="544" w:type="dxa"/>
            <w:vAlign w:val="center"/>
          </w:tcPr>
          <w:p>
            <w:pPr>
              <w:spacing w:line="3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序</w:t>
            </w:r>
          </w:p>
          <w:p>
            <w:pPr>
              <w:spacing w:line="30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号</w:t>
            </w:r>
          </w:p>
        </w:tc>
        <w:tc>
          <w:tcPr>
            <w:tcW w:w="1417" w:type="dxa"/>
            <w:vAlign w:val="center"/>
          </w:tcPr>
          <w:p>
            <w:pPr>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项目</w:t>
            </w:r>
          </w:p>
        </w:tc>
        <w:tc>
          <w:tcPr>
            <w:tcW w:w="5004" w:type="dxa"/>
            <w:vAlign w:val="center"/>
          </w:tcPr>
          <w:p>
            <w:pPr>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检查标准</w:t>
            </w:r>
          </w:p>
        </w:tc>
        <w:tc>
          <w:tcPr>
            <w:tcW w:w="1576" w:type="dxa"/>
            <w:vAlign w:val="center"/>
          </w:tcPr>
          <w:p>
            <w:pPr>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违约金标准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77" w:hRule="atLeast"/>
          <w:jc w:val="center"/>
        </w:trPr>
        <w:tc>
          <w:tcPr>
            <w:tcW w:w="544"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w:t>
            </w:r>
          </w:p>
        </w:tc>
        <w:tc>
          <w:tcPr>
            <w:tcW w:w="1417"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接地与接零保护系统</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未采用三相五线制的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工作接地与重复接地不符合要求的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专用保护零线设置不符合要求的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保护零线与工作零线混合接口的</w:t>
            </w:r>
          </w:p>
        </w:tc>
        <w:tc>
          <w:tcPr>
            <w:tcW w:w="1576"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544" w:hRule="atLeast"/>
          <w:jc w:val="center"/>
        </w:trPr>
        <w:tc>
          <w:tcPr>
            <w:tcW w:w="544"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w:t>
            </w:r>
          </w:p>
        </w:tc>
        <w:tc>
          <w:tcPr>
            <w:tcW w:w="1417"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配电箱开关箱</w:t>
            </w:r>
          </w:p>
        </w:tc>
        <w:tc>
          <w:tcPr>
            <w:tcW w:w="500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不符合“三级配电两级保护”要求的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开关箱（末端）无漏电保护的或保护器失灵的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漏电保护装置参数不匹配的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电箱内无隔离开关的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违反“一闸、一漏、一箱”的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安装位置不当、周围杂物多等不便操作的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闸具损坏、闸具不符合要求或保险丝外漏的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电箱下引出线混乱的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电箱无门、无锁、无防雨措施的，无巡检或巡检滞后</w:t>
            </w:r>
          </w:p>
        </w:tc>
        <w:tc>
          <w:tcPr>
            <w:tcW w:w="1576"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399" w:hRule="atLeast"/>
          <w:jc w:val="center"/>
        </w:trPr>
        <w:tc>
          <w:tcPr>
            <w:tcW w:w="544"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w:t>
            </w:r>
          </w:p>
        </w:tc>
        <w:tc>
          <w:tcPr>
            <w:tcW w:w="1417" w:type="dxa"/>
            <w:tcBorders>
              <w:bottom w:val="single" w:color="auto" w:sz="4" w:space="0"/>
            </w:tcBorders>
            <w:vAlign w:val="center"/>
          </w:tcPr>
          <w:p>
            <w:pPr>
              <w:spacing w:line="280" w:lineRule="exact"/>
              <w:rPr>
                <w:rFonts w:asciiTheme="minorEastAsia" w:hAnsiTheme="minorEastAsia" w:eastAsiaTheme="minorEastAsia"/>
                <w:color w:val="000000" w:themeColor="text1"/>
                <w:spacing w:val="-10"/>
                <w:highlight w:val="none"/>
                <w14:textFill>
                  <w14:solidFill>
                    <w14:schemeClr w14:val="tx1"/>
                  </w14:solidFill>
                </w14:textFill>
              </w:rPr>
            </w:pPr>
            <w:r>
              <w:rPr>
                <w:rFonts w:hint="eastAsia" w:asciiTheme="minorEastAsia" w:hAnsiTheme="minorEastAsia" w:eastAsiaTheme="minorEastAsia"/>
                <w:color w:val="000000" w:themeColor="text1"/>
                <w:spacing w:val="-10"/>
                <w:highlight w:val="none"/>
                <w14:textFill>
                  <w14:solidFill>
                    <w14:schemeClr w14:val="tx1"/>
                  </w14:solidFill>
                </w14:textFill>
              </w:rPr>
              <w:t>现场照明</w:t>
            </w:r>
          </w:p>
        </w:tc>
        <w:tc>
          <w:tcPr>
            <w:tcW w:w="500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照明专用回路无漏电保护的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灯具金属外壳未作接零保护或接地保护的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室内线路及灯具安装高度低于2.4m无使用安全电压供电的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潮湿场所作业未使用36v以下安全电压的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使用36v安全电压照明线路混乱和接头处未用绝缘布包扎的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手持照明灯未使用36v及以下电源供电的</w:t>
            </w:r>
          </w:p>
        </w:tc>
        <w:tc>
          <w:tcPr>
            <w:tcW w:w="1576"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683" w:hRule="atLeast"/>
          <w:jc w:val="center"/>
        </w:trPr>
        <w:tc>
          <w:tcPr>
            <w:tcW w:w="544"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w:t>
            </w:r>
          </w:p>
        </w:tc>
        <w:tc>
          <w:tcPr>
            <w:tcW w:w="1417"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配电线路</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不按规定选用导线的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导线拖地、浸水或用光身金属线绑扎的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导线老化、破皮未包扎的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线路过道无保护的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没有将电线架空，或电线架空不符合要求的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未使用五芯（电缆）的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使用四芯电缆外加一根线替代五芯电缆的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电缆架设或埋设不符合要求的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导线乱拉乱接的</w:t>
            </w:r>
          </w:p>
        </w:tc>
        <w:tc>
          <w:tcPr>
            <w:tcW w:w="1576"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2124" w:hRule="atLeast"/>
          <w:jc w:val="center"/>
        </w:trPr>
        <w:tc>
          <w:tcPr>
            <w:tcW w:w="544" w:type="dxa"/>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w:t>
            </w:r>
          </w:p>
        </w:tc>
        <w:tc>
          <w:tcPr>
            <w:tcW w:w="1417" w:type="dxa"/>
            <w:tcBorders>
              <w:left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电器装置</w:t>
            </w:r>
          </w:p>
        </w:tc>
        <w:tc>
          <w:tcPr>
            <w:tcW w:w="500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闸具、熔断器参数与设备容量不匹配、安装不合要求的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用其他金属丝代替熔丝的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漏电开关电源侧无空气开关或闸刀开关控制的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开关接线后无盖盖的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电器、设备、导线残缺破损的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使用多用插座的</w:t>
            </w:r>
          </w:p>
        </w:tc>
        <w:tc>
          <w:tcPr>
            <w:tcW w:w="1576"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200-500元/处</w:t>
            </w:r>
          </w:p>
        </w:tc>
      </w:tr>
    </w:tbl>
    <w:p>
      <w:pPr>
        <w:autoSpaceDE w:val="0"/>
        <w:autoSpaceDN w:val="0"/>
        <w:adjustRightInd w:val="0"/>
        <w:spacing w:line="500" w:lineRule="exact"/>
        <w:jc w:val="left"/>
        <w:rPr>
          <w:rFonts w:cs="宋体" w:asciiTheme="minorEastAsia" w:hAnsiTheme="minorEastAsia" w:eastAsiaTheme="minorEastAsia"/>
          <w:color w:val="000000" w:themeColor="text1"/>
          <w:kern w:val="0"/>
          <w:sz w:val="24"/>
          <w:szCs w:val="24"/>
          <w:highlight w:val="none"/>
          <w14:textFill>
            <w14:solidFill>
              <w14:schemeClr w14:val="tx1"/>
            </w14:solidFill>
          </w14:textFill>
        </w:rPr>
      </w:pPr>
      <w:r>
        <w:rPr>
          <w:rFonts w:hint="eastAsia" w:cs="宋体" w:asciiTheme="minorEastAsia" w:hAnsiTheme="minorEastAsia" w:eastAsiaTheme="minorEastAsia"/>
          <w:color w:val="000000" w:themeColor="text1"/>
          <w:kern w:val="0"/>
          <w:sz w:val="24"/>
          <w:szCs w:val="24"/>
          <w:highlight w:val="none"/>
          <w14:textFill>
            <w14:solidFill>
              <w14:schemeClr w14:val="tx1"/>
            </w14:solidFill>
          </w14:textFill>
        </w:rPr>
        <w:t xml:space="preserve">D、施工机具、设备管理 </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53"/>
        <w:gridCol w:w="1464"/>
        <w:gridCol w:w="5040"/>
        <w:gridCol w:w="15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53" w:type="dxa"/>
            <w:tcBorders>
              <w:bottom w:val="single" w:color="auto" w:sz="4" w:space="0"/>
            </w:tcBorders>
            <w:vAlign w:val="center"/>
          </w:tcPr>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序</w:t>
            </w:r>
          </w:p>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号</w:t>
            </w:r>
          </w:p>
        </w:tc>
        <w:tc>
          <w:tcPr>
            <w:tcW w:w="1464" w:type="dxa"/>
            <w:vAlign w:val="center"/>
          </w:tcPr>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项目</w:t>
            </w:r>
          </w:p>
        </w:tc>
        <w:tc>
          <w:tcPr>
            <w:tcW w:w="5040" w:type="dxa"/>
            <w:vAlign w:val="center"/>
          </w:tcPr>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检查标准</w:t>
            </w:r>
          </w:p>
        </w:tc>
        <w:tc>
          <w:tcPr>
            <w:tcW w:w="1502" w:type="dxa"/>
            <w:vAlign w:val="center"/>
          </w:tcPr>
          <w:p>
            <w:pPr>
              <w:spacing w:line="500" w:lineRule="exact"/>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违约金标准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31" w:hRule="atLeast"/>
          <w:jc w:val="center"/>
        </w:trPr>
        <w:tc>
          <w:tcPr>
            <w:tcW w:w="553" w:type="dxa"/>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w:t>
            </w:r>
          </w:p>
        </w:tc>
        <w:tc>
          <w:tcPr>
            <w:tcW w:w="146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套丝机、圆盘锯等</w:t>
            </w: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操作人员戴手套操作的, （违反操作规程的）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锯片、传动部位防护罩缺失</w:t>
            </w:r>
          </w:p>
        </w:tc>
        <w:tc>
          <w:tcPr>
            <w:tcW w:w="1502" w:type="dxa"/>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r>
              <w:rPr>
                <w:rFonts w:hint="eastAsia" w:asciiTheme="minorEastAsia" w:hAnsiTheme="minorEastAsia" w:eastAsiaTheme="minorEastAsia"/>
                <w:color w:val="000000" w:themeColor="text1"/>
                <w:sz w:val="18"/>
                <w:highlight w:val="none"/>
                <w14:textFill>
                  <w14:solidFill>
                    <w14:schemeClr w14:val="tx1"/>
                  </w14:solidFill>
                </w14:textFill>
              </w:rPr>
              <w:t>100元／人次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98" w:hRule="atLeast"/>
          <w:jc w:val="center"/>
        </w:trPr>
        <w:tc>
          <w:tcPr>
            <w:tcW w:w="553" w:type="dxa"/>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w:t>
            </w:r>
          </w:p>
        </w:tc>
        <w:tc>
          <w:tcPr>
            <w:tcW w:w="146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空气压缩机</w:t>
            </w: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传动部位无防护罩的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自动控制器件失灵或残缺破损未更换的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1Mpa、150L以上无检测证的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周边无降噪措施</w:t>
            </w:r>
          </w:p>
        </w:tc>
        <w:tc>
          <w:tcPr>
            <w:tcW w:w="150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759" w:hRule="atLeast"/>
          <w:jc w:val="center"/>
        </w:trPr>
        <w:tc>
          <w:tcPr>
            <w:tcW w:w="553" w:type="dxa"/>
            <w:tcBorders>
              <w:bottom w:val="single" w:color="auto" w:sz="4" w:space="0"/>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w:t>
            </w:r>
          </w:p>
        </w:tc>
        <w:tc>
          <w:tcPr>
            <w:tcW w:w="1464"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手持电动工具</w:t>
            </w:r>
          </w:p>
        </w:tc>
        <w:tc>
          <w:tcPr>
            <w:tcW w:w="5040"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使用I类手持电动工具的</w:t>
            </w:r>
          </w:p>
        </w:tc>
        <w:tc>
          <w:tcPr>
            <w:tcW w:w="1502"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438" w:hRule="atLeast"/>
          <w:jc w:val="center"/>
        </w:trPr>
        <w:tc>
          <w:tcPr>
            <w:tcW w:w="553" w:type="dxa"/>
            <w:tcBorders>
              <w:bottom w:val="single" w:color="auto" w:sz="4" w:space="0"/>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w:t>
            </w:r>
          </w:p>
        </w:tc>
        <w:tc>
          <w:tcPr>
            <w:tcW w:w="1464" w:type="dxa"/>
            <w:tcBorders>
              <w:bottom w:val="single" w:color="auto" w:sz="4" w:space="0"/>
            </w:tcBorders>
            <w:vAlign w:val="center"/>
          </w:tcPr>
          <w:p>
            <w:pPr>
              <w:spacing w:line="280" w:lineRule="exact"/>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电焊机</w:t>
            </w:r>
          </w:p>
        </w:tc>
        <w:tc>
          <w:tcPr>
            <w:tcW w:w="5040"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无二次空载降压保护器或防触电保护器的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一次线长度超过5米，二次焊线长度超过30米的</w:t>
            </w:r>
          </w:p>
          <w:p>
            <w:pPr>
              <w:numPr>
                <w:ilvl w:val="0"/>
                <w:numId w:val="18"/>
              </w:numPr>
              <w:tabs>
                <w:tab w:val="left" w:pos="420"/>
              </w:tabs>
              <w:spacing w:line="280" w:lineRule="exact"/>
              <w:ind w:left="0" w:firstLine="42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二次侧导线不采用橡套电缆的</w:t>
            </w:r>
          </w:p>
          <w:p>
            <w:pPr>
              <w:numPr>
                <w:ilvl w:val="0"/>
                <w:numId w:val="18"/>
              </w:numPr>
              <w:tabs>
                <w:tab w:val="left" w:pos="420"/>
              </w:tabs>
              <w:spacing w:line="280" w:lineRule="exact"/>
              <w:ind w:left="0" w:firstLine="42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二次侧电缆线芯截面选择不当的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二次侧电缆跨楼层焊接作业的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焊接线接头超过3处或绝缘老化的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一、二次侧两端无保护罩的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一、二次侧接线端子残缺破损的或接线不牢固的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电源不使用自动开关的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露天作业电焊机无防雨措施的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工人焊接作业无防护用具，如电渣压力焊作业无绝缘手套绝缘鞋等</w:t>
            </w:r>
          </w:p>
        </w:tc>
        <w:tc>
          <w:tcPr>
            <w:tcW w:w="1502" w:type="dxa"/>
            <w:tcBorders>
              <w:bottom w:val="single" w:color="auto" w:sz="4" w:space="0"/>
            </w:tcBorders>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830" w:hRule="atLeast"/>
          <w:jc w:val="center"/>
        </w:trPr>
        <w:tc>
          <w:tcPr>
            <w:tcW w:w="553" w:type="dxa"/>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w:t>
            </w:r>
          </w:p>
        </w:tc>
        <w:tc>
          <w:tcPr>
            <w:tcW w:w="146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气瓶</w:t>
            </w: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各种气瓶无标准色标的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使用时气瓶间距小于5米，距明火小于10米又无间隔措施的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乙炔瓶使用或存放时平放或加热气瓶的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气瓶存放不符合要求的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气瓶使用时，减压阀、回火阀等相关配置不齐全或损坏</w:t>
            </w:r>
          </w:p>
        </w:tc>
        <w:tc>
          <w:tcPr>
            <w:tcW w:w="150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136" w:hRule="atLeast"/>
          <w:jc w:val="center"/>
        </w:trPr>
        <w:tc>
          <w:tcPr>
            <w:tcW w:w="553" w:type="dxa"/>
            <w:vMerge w:val="restart"/>
            <w:tcBorders>
              <w:bottom w:val="single" w:color="auto" w:sz="4" w:space="0"/>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w:t>
            </w:r>
          </w:p>
        </w:tc>
        <w:tc>
          <w:tcPr>
            <w:tcW w:w="1464" w:type="dxa"/>
            <w:vMerge w:val="restart"/>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施工机具通用部分</w:t>
            </w:r>
          </w:p>
        </w:tc>
        <w:tc>
          <w:tcPr>
            <w:tcW w:w="5040" w:type="dxa"/>
            <w:tcBorders>
              <w:bottom w:val="single" w:color="auto" w:sz="4" w:space="0"/>
            </w:tcBorders>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电源线无选用橡套电缆的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电源线、插头残缺破损未更换的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未作保护接零（或保护接地）的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无漏电开关保护或漏电开关动作电流选择不当的</w:t>
            </w:r>
          </w:p>
        </w:tc>
        <w:tc>
          <w:tcPr>
            <w:tcW w:w="1502" w:type="dxa"/>
            <w:vMerge w:val="restart"/>
            <w:tcBorders>
              <w:bottom w:val="single" w:color="auto" w:sz="4" w:space="0"/>
            </w:tcBorders>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682" w:hRule="atLeast"/>
          <w:jc w:val="center"/>
        </w:trPr>
        <w:tc>
          <w:tcPr>
            <w:tcW w:w="553" w:type="dxa"/>
            <w:vMerge w:val="continue"/>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64" w:type="dxa"/>
            <w:vMerge w:val="continue"/>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随意接长机具电源线的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机具无人操作未切断电源的</w:t>
            </w:r>
          </w:p>
        </w:tc>
        <w:tc>
          <w:tcPr>
            <w:tcW w:w="1502" w:type="dxa"/>
            <w:vMerge w:val="continue"/>
            <w:vAlign w:val="center"/>
          </w:tcPr>
          <w:p>
            <w:pPr>
              <w:spacing w:line="280" w:lineRule="exact"/>
              <w:jc w:val="center"/>
              <w:rPr>
                <w:rFonts w:asciiTheme="minorEastAsia" w:hAnsiTheme="minorEastAsia" w:eastAsiaTheme="minorEastAsia"/>
                <w:color w:val="000000" w:themeColor="text1"/>
                <w:sz w:val="18"/>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39" w:hRule="atLeast"/>
          <w:jc w:val="center"/>
        </w:trPr>
        <w:tc>
          <w:tcPr>
            <w:tcW w:w="553" w:type="dxa"/>
            <w:vMerge w:val="continue"/>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p>
        </w:tc>
        <w:tc>
          <w:tcPr>
            <w:tcW w:w="1464" w:type="dxa"/>
            <w:vMerge w:val="continue"/>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无安全检测记录便投入使用的</w:t>
            </w:r>
          </w:p>
        </w:tc>
        <w:tc>
          <w:tcPr>
            <w:tcW w:w="150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100--300元／项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1251" w:hRule="atLeast"/>
          <w:jc w:val="center"/>
        </w:trPr>
        <w:tc>
          <w:tcPr>
            <w:tcW w:w="553" w:type="dxa"/>
            <w:tcBorders>
              <w:right w:val="single" w:color="auto" w:sz="4" w:space="0"/>
            </w:tcBorders>
            <w:vAlign w:val="center"/>
          </w:tcPr>
          <w:p>
            <w:pPr>
              <w:spacing w:line="280" w:lineRule="exact"/>
              <w:jc w:val="center"/>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w:t>
            </w:r>
          </w:p>
        </w:tc>
        <w:tc>
          <w:tcPr>
            <w:tcW w:w="1464"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塔吊、人货梯</w:t>
            </w:r>
          </w:p>
        </w:tc>
        <w:tc>
          <w:tcPr>
            <w:tcW w:w="5040" w:type="dxa"/>
            <w:vAlign w:val="center"/>
          </w:tcPr>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违规调物的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特种人员未持有效资格证上岗的</w:t>
            </w:r>
          </w:p>
          <w:p>
            <w:pPr>
              <w:spacing w:line="280" w:lineRule="exact"/>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未定期维护保养记录的（非司索指挥塔吊的或操作人货梯）</w:t>
            </w:r>
          </w:p>
        </w:tc>
        <w:tc>
          <w:tcPr>
            <w:tcW w:w="1502" w:type="dxa"/>
            <w:vAlign w:val="center"/>
          </w:tcPr>
          <w:p>
            <w:pPr>
              <w:spacing w:line="280" w:lineRule="exact"/>
              <w:jc w:val="center"/>
              <w:rPr>
                <w:rFonts w:asciiTheme="minorEastAsia" w:hAnsiTheme="minorEastAsia" w:eastAsiaTheme="minorEastAsia"/>
                <w:color w:val="000000" w:themeColor="text1"/>
                <w:spacing w:val="-10"/>
                <w:sz w:val="18"/>
                <w:highlight w:val="none"/>
                <w14:textFill>
                  <w14:solidFill>
                    <w14:schemeClr w14:val="tx1"/>
                  </w14:solidFill>
                </w14:textFill>
              </w:rPr>
            </w:pPr>
            <w:r>
              <w:rPr>
                <w:rFonts w:hint="eastAsia" w:asciiTheme="minorEastAsia" w:hAnsiTheme="minorEastAsia" w:eastAsiaTheme="minorEastAsia"/>
                <w:color w:val="000000" w:themeColor="text1"/>
                <w:spacing w:val="-10"/>
                <w:sz w:val="18"/>
                <w:highlight w:val="none"/>
                <w14:textFill>
                  <w14:solidFill>
                    <w14:schemeClr w14:val="tx1"/>
                  </w14:solidFill>
                </w14:textFill>
              </w:rPr>
              <w:t>500-2000元/项</w:t>
            </w:r>
          </w:p>
        </w:tc>
      </w:tr>
    </w:tbl>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cs="宋体" w:asciiTheme="minorEastAsia" w:hAnsiTheme="minorEastAsia" w:eastAsiaTheme="minorEastAsia"/>
          <w:color w:val="000000" w:themeColor="text1"/>
          <w:highlight w:val="none"/>
          <w14:textFill>
            <w14:solidFill>
              <w14:schemeClr w14:val="tx1"/>
            </w14:solidFill>
          </w14:textFill>
        </w:rPr>
        <w:t> </w:t>
      </w:r>
      <w:r>
        <w:rPr>
          <w:rFonts w:hint="eastAsia" w:asciiTheme="minorEastAsia" w:hAnsiTheme="minorEastAsia" w:eastAsiaTheme="minorEastAsia"/>
          <w:color w:val="000000" w:themeColor="text1"/>
          <w:highlight w:val="none"/>
          <w14:textFill>
            <w14:solidFill>
              <w14:schemeClr w14:val="tx1"/>
            </w14:solidFill>
          </w14:textFill>
        </w:rPr>
        <w:t>4.5.2环境、文明施工管理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（1）严格执行本项目部制定的现场卫生管理制度、文明施工管理制度、扬尘控制措施、环境管理方案，保持场容整洁卫生，杜绝扬尘污染。</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（2）认真执行环境管理方案，对噪音源进行有效控制，确保噪音达标排放。</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（3）一切垃圾（包括包装物、零碎料等施工垃圾、生活垃圾）必须通过包装物或装盛器具运到现场指定垃圾堆放点存放，不得由空中向下抛洒任何物体。</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（4）工程施工使用的材料应符合国家、当地政府的有关环保规定。材料采购合同，应明确包装的回收约定。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（5）化学危险品采购、运输、储存、使用、包装回收应有专人负责，严格执行国家及当地政府的有关规定。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（6）加强现场消防防火工作，避免火灾引起的环境污染。</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（7）加强施工人员教育，关心工人生活，杜绝打架斗殴、集体中毒、违法刑事案件、集体上访、拖欠农民工工资等影响本项目形象的事件发生。</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（8）违反以上各条环境、文明施工管理制度的，视情况每次处收取违约金100-10000元。</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4.5.3奖罚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由监理、发包人制定安全文明施工防护措施奖罚制度，并严格按照制度实施，现场罚没的资金直接上缴至安全专项资金里，做到专款专用。</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5.纪律约束</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5.1对分包人的纪律约束</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（1）所有分包人必须严格执行国家、发包人、监理单位及总包单位的有关规定。</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（2）在工程施工中，不准有弄虚作假等欺诈行为，不准送礼行贿。</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（3）在施工中发现分包人有违法、违纪行为者，将对其清退出现场，并永不再与其合作。</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5.2对总包人员的纪律约束</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（1）总包各管理人员要秉公办事，坚持原则，尽职尽责。</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（2）总包人员要廉洁自律，严禁对分包人吃、拿、卡、要，索贿受贿，如有违犯者，按有关规定处理。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（3）对在工程管理中给发包人造成损失的单位、个人，将视其情节轻重，予以经济处罚及行政处分。</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6.其他</w:t>
      </w:r>
      <w:r>
        <w:rPr>
          <w:rFonts w:hint="eastAsia" w:cs="宋体" w:asciiTheme="minorEastAsia" w:hAnsiTheme="minorEastAsia" w:eastAsiaTheme="minorEastAsia"/>
          <w:color w:val="000000" w:themeColor="text1"/>
          <w:highlight w:val="none"/>
          <w14:textFill>
            <w14:solidFill>
              <w14:schemeClr w14:val="tx1"/>
            </w14:solidFill>
          </w14:textFill>
        </w:rPr>
        <w:t> </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（1）上述各项管理制度如与其他管理制度或合同条款约定有冲突的，按最严格的执行。</w:t>
      </w:r>
    </w:p>
    <w:p>
      <w:pPr>
        <w:spacing w:line="360" w:lineRule="auto"/>
        <w:ind w:firstLine="420" w:firstLineChars="200"/>
        <w:rPr>
          <w:rFonts w:asciiTheme="minorEastAsia" w:hAnsiTheme="minorEastAsia" w:eastAsiaTheme="minorEastAsia"/>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highlight w:val="none"/>
          <w14:textFill>
            <w14:solidFill>
              <w14:schemeClr w14:val="tx1"/>
            </w14:solidFill>
          </w14:textFill>
        </w:rPr>
        <w:t>（2）本管理制度解释权归本项目发包人。</w:t>
      </w:r>
    </w:p>
    <w:p>
      <w:pPr>
        <w:widowControl/>
        <w:jc w:val="left"/>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p>
    <w:p>
      <w:pPr>
        <w:pStyle w:val="2"/>
        <w:rPr>
          <w:color w:val="000000" w:themeColor="text1"/>
          <w:sz w:val="30"/>
          <w:szCs w:val="30"/>
          <w:highlight w:val="none"/>
          <w14:textFill>
            <w14:solidFill>
              <w14:schemeClr w14:val="tx1"/>
            </w14:solidFill>
          </w14:textFill>
        </w:rPr>
      </w:pPr>
      <w:bookmarkStart w:id="947" w:name="_Toc118446917"/>
      <w:bookmarkStart w:id="948" w:name="_Toc13874"/>
      <w:r>
        <w:rPr>
          <w:rFonts w:hint="eastAsia"/>
          <w:color w:val="000000" w:themeColor="text1"/>
          <w:sz w:val="30"/>
          <w:szCs w:val="30"/>
          <w:highlight w:val="none"/>
          <w14:textFill>
            <w14:solidFill>
              <w14:schemeClr w14:val="tx1"/>
            </w14:solidFill>
          </w14:textFill>
        </w:rPr>
        <w:t>附件10 智慧工地建设要求</w:t>
      </w:r>
      <w:bookmarkEnd w:id="947"/>
      <w:bookmarkEnd w:id="948"/>
    </w:p>
    <w:p>
      <w:pPr>
        <w:spacing w:line="360" w:lineRule="auto"/>
        <w:jc w:val="center"/>
        <w:rPr>
          <w:rFonts w:ascii="华文楷体" w:hAnsi="华文楷体" w:eastAsia="华文楷体"/>
          <w:b/>
          <w:color w:val="000000" w:themeColor="text1"/>
          <w:sz w:val="24"/>
          <w:szCs w:val="24"/>
          <w:highlight w:val="none"/>
          <w14:textFill>
            <w14:solidFill>
              <w14:schemeClr w14:val="tx1"/>
            </w14:solidFill>
          </w14:textFill>
        </w:rPr>
      </w:pPr>
      <w:r>
        <w:rPr>
          <w:rFonts w:hint="eastAsia" w:ascii="华文楷体" w:hAnsi="华文楷体" w:eastAsia="华文楷体"/>
          <w:b/>
          <w:color w:val="000000" w:themeColor="text1"/>
          <w:sz w:val="24"/>
          <w:szCs w:val="24"/>
          <w:highlight w:val="none"/>
          <w14:textFill>
            <w14:solidFill>
              <w14:schemeClr w14:val="tx1"/>
            </w14:solidFill>
          </w14:textFill>
        </w:rPr>
        <w:t>智慧工地建设要求</w:t>
      </w:r>
    </w:p>
    <w:p>
      <w:pPr>
        <w:pStyle w:val="107"/>
        <w:numPr>
          <w:ilvl w:val="0"/>
          <w:numId w:val="19"/>
        </w:numPr>
        <w:spacing w:line="360" w:lineRule="auto"/>
        <w:ind w:left="408" w:hanging="408" w:hangingChars="170"/>
        <w:rPr>
          <w:rFonts w:ascii="华文楷体" w:hAnsi="华文楷体" w:eastAsia="华文楷体"/>
          <w:b/>
          <w:color w:val="000000" w:themeColor="text1"/>
          <w:sz w:val="24"/>
          <w:szCs w:val="24"/>
          <w:highlight w:val="none"/>
          <w14:textFill>
            <w14:solidFill>
              <w14:schemeClr w14:val="tx1"/>
            </w14:solidFill>
          </w14:textFill>
        </w:rPr>
      </w:pPr>
      <w:r>
        <w:rPr>
          <w:rFonts w:hint="eastAsia" w:ascii="华文楷体" w:hAnsi="华文楷体" w:eastAsia="华文楷体"/>
          <w:b/>
          <w:color w:val="000000" w:themeColor="text1"/>
          <w:sz w:val="24"/>
          <w:szCs w:val="24"/>
          <w:highlight w:val="none"/>
          <w14:textFill>
            <w14:solidFill>
              <w14:schemeClr w14:val="tx1"/>
            </w14:solidFill>
          </w14:textFill>
        </w:rPr>
        <w:t>总体方案</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本项目智慧工地建设要求是从发包人当前需求出发，考虑到管理目标、管理要素。承包人须服从、配合发包人对智慧工地建设的需要。建设内容主要包括工地数字设备（门禁管理系统、安全管理、文明工地管理、车辆进出管理、视频监控系统等）的采购、安装、调试、信息接入和系统运行环境设备（通信网络、办公网络、信息安全等）的采购、安装、调试。</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承包人</w:t>
      </w:r>
      <w:r>
        <w:rPr>
          <w:rFonts w:ascii="华文楷体" w:hAnsi="华文楷体" w:eastAsia="华文楷体"/>
          <w:color w:val="000000" w:themeColor="text1"/>
          <w:highlight w:val="none"/>
          <w14:textFill>
            <w14:solidFill>
              <w14:schemeClr w14:val="tx1"/>
            </w14:solidFill>
          </w14:textFill>
        </w:rPr>
        <w:t>应</w:t>
      </w:r>
      <w:r>
        <w:rPr>
          <w:rFonts w:hint="eastAsia" w:ascii="华文楷体" w:hAnsi="华文楷体" w:eastAsia="华文楷体"/>
          <w:color w:val="000000" w:themeColor="text1"/>
          <w:highlight w:val="none"/>
          <w14:textFill>
            <w14:solidFill>
              <w14:schemeClr w14:val="tx1"/>
            </w14:solidFill>
          </w14:textFill>
        </w:rPr>
        <w:t>提供对发包人指定的系统发布的</w:t>
      </w:r>
      <w:r>
        <w:rPr>
          <w:rFonts w:ascii="华文楷体" w:hAnsi="华文楷体" w:eastAsia="华文楷体"/>
          <w:color w:val="000000" w:themeColor="text1"/>
          <w:highlight w:val="none"/>
          <w14:textFill>
            <w14:solidFill>
              <w14:schemeClr w14:val="tx1"/>
            </w14:solidFill>
          </w14:textFill>
        </w:rPr>
        <w:t>数据接口，实现系统间数据</w:t>
      </w:r>
      <w:r>
        <w:rPr>
          <w:rFonts w:hint="eastAsia" w:ascii="华文楷体" w:hAnsi="华文楷体" w:eastAsia="华文楷体"/>
          <w:color w:val="000000" w:themeColor="text1"/>
          <w:highlight w:val="none"/>
          <w14:textFill>
            <w14:solidFill>
              <w14:schemeClr w14:val="tx1"/>
            </w14:solidFill>
          </w14:textFill>
        </w:rPr>
        <w:t>导入、导出和</w:t>
      </w:r>
      <w:r>
        <w:rPr>
          <w:rFonts w:ascii="华文楷体" w:hAnsi="华文楷体" w:eastAsia="华文楷体"/>
          <w:color w:val="000000" w:themeColor="text1"/>
          <w:highlight w:val="none"/>
          <w14:textFill>
            <w14:solidFill>
              <w14:schemeClr w14:val="tx1"/>
            </w14:solidFill>
          </w14:textFill>
        </w:rPr>
        <w:t>共享。</w:t>
      </w:r>
      <w:r>
        <w:rPr>
          <w:rFonts w:hint="eastAsia" w:ascii="华文楷体" w:hAnsi="华文楷体" w:eastAsia="华文楷体"/>
          <w:color w:val="000000" w:themeColor="text1"/>
          <w:highlight w:val="none"/>
          <w14:textFill>
            <w14:solidFill>
              <w14:schemeClr w14:val="tx1"/>
            </w14:solidFill>
          </w14:textFill>
        </w:rPr>
        <w:t>数据接口应符合下表的内容：</w:t>
      </w:r>
    </w:p>
    <w:tbl>
      <w:tblPr>
        <w:tblStyle w:val="37"/>
        <w:tblW w:w="7938" w:type="dxa"/>
        <w:tblInd w:w="-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9"/>
        <w:gridCol w:w="1276"/>
        <w:gridCol w:w="595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3" w:hRule="atLeast"/>
          <w:tblHeader/>
        </w:trPr>
        <w:tc>
          <w:tcPr>
            <w:tcW w:w="709" w:type="dxa"/>
            <w:vAlign w:val="center"/>
          </w:tcPr>
          <w:p>
            <w:pPr>
              <w:spacing w:line="360" w:lineRule="auto"/>
              <w:jc w:val="center"/>
              <w:rPr>
                <w:rFonts w:ascii="华文楷体" w:hAnsi="华文楷体" w:eastAsia="华文楷体"/>
                <w:b/>
                <w:color w:val="000000" w:themeColor="text1"/>
                <w:szCs w:val="21"/>
                <w:highlight w:val="none"/>
                <w14:textFill>
                  <w14:solidFill>
                    <w14:schemeClr w14:val="tx1"/>
                  </w14:solidFill>
                </w14:textFill>
              </w:rPr>
            </w:pPr>
            <w:r>
              <w:rPr>
                <w:rFonts w:ascii="华文楷体" w:hAnsi="华文楷体" w:eastAsia="华文楷体"/>
                <w:b/>
                <w:color w:val="000000" w:themeColor="text1"/>
                <w:szCs w:val="21"/>
                <w:highlight w:val="none"/>
                <w14:textFill>
                  <w14:solidFill>
                    <w14:schemeClr w14:val="tx1"/>
                  </w14:solidFill>
                </w14:textFill>
              </w:rPr>
              <w:t>序号</w:t>
            </w:r>
          </w:p>
        </w:tc>
        <w:tc>
          <w:tcPr>
            <w:tcW w:w="1276" w:type="dxa"/>
            <w:vAlign w:val="center"/>
          </w:tcPr>
          <w:p>
            <w:pPr>
              <w:spacing w:line="360" w:lineRule="auto"/>
              <w:jc w:val="center"/>
              <w:rPr>
                <w:rFonts w:ascii="华文楷体" w:hAnsi="华文楷体" w:eastAsia="华文楷体"/>
                <w:b/>
                <w:color w:val="000000" w:themeColor="text1"/>
                <w:szCs w:val="21"/>
                <w:highlight w:val="none"/>
                <w14:textFill>
                  <w14:solidFill>
                    <w14:schemeClr w14:val="tx1"/>
                  </w14:solidFill>
                </w14:textFill>
              </w:rPr>
            </w:pPr>
            <w:r>
              <w:rPr>
                <w:rFonts w:hint="eastAsia" w:ascii="华文楷体" w:hAnsi="华文楷体" w:eastAsia="华文楷体"/>
                <w:b/>
                <w:color w:val="000000" w:themeColor="text1"/>
                <w:szCs w:val="21"/>
                <w:highlight w:val="none"/>
                <w14:textFill>
                  <w14:solidFill>
                    <w14:schemeClr w14:val="tx1"/>
                  </w14:solidFill>
                </w14:textFill>
              </w:rPr>
              <w:t>项目</w:t>
            </w:r>
          </w:p>
        </w:tc>
        <w:tc>
          <w:tcPr>
            <w:tcW w:w="5953" w:type="dxa"/>
            <w:vAlign w:val="center"/>
          </w:tcPr>
          <w:p>
            <w:pPr>
              <w:spacing w:line="360" w:lineRule="auto"/>
              <w:jc w:val="center"/>
              <w:rPr>
                <w:rFonts w:ascii="华文楷体" w:hAnsi="华文楷体" w:eastAsia="华文楷体"/>
                <w:b/>
                <w:color w:val="000000" w:themeColor="text1"/>
                <w:szCs w:val="21"/>
                <w:highlight w:val="none"/>
                <w14:textFill>
                  <w14:solidFill>
                    <w14:schemeClr w14:val="tx1"/>
                  </w14:solidFill>
                </w14:textFill>
              </w:rPr>
            </w:pPr>
            <w:r>
              <w:rPr>
                <w:rFonts w:hint="eastAsia" w:ascii="华文楷体" w:hAnsi="华文楷体" w:eastAsia="华文楷体"/>
                <w:b/>
                <w:color w:val="000000" w:themeColor="text1"/>
                <w:szCs w:val="21"/>
                <w:highlight w:val="none"/>
                <w14:textFill>
                  <w14:solidFill>
                    <w14:schemeClr w14:val="tx1"/>
                  </w14:solidFill>
                </w14:textFill>
              </w:rPr>
              <w:t>项目</w:t>
            </w:r>
            <w:r>
              <w:rPr>
                <w:rFonts w:ascii="华文楷体" w:hAnsi="华文楷体" w:eastAsia="华文楷体"/>
                <w:b/>
                <w:color w:val="000000" w:themeColor="text1"/>
                <w:szCs w:val="21"/>
                <w:highlight w:val="none"/>
                <w14:textFill>
                  <w14:solidFill>
                    <w14:schemeClr w14:val="tx1"/>
                  </w14:solidFill>
                </w14:textFill>
              </w:rPr>
              <w:t>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1</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数据</w:t>
            </w:r>
            <w:r>
              <w:rPr>
                <w:rFonts w:hint="eastAsia" w:ascii="华文楷体" w:hAnsi="华文楷体" w:eastAsia="华文楷体"/>
                <w:color w:val="000000" w:themeColor="text1"/>
                <w:szCs w:val="21"/>
                <w:highlight w:val="none"/>
                <w14:textFill>
                  <w14:solidFill>
                    <w14:schemeClr w14:val="tx1"/>
                  </w14:solidFill>
                </w14:textFill>
              </w:rPr>
              <w:t>内容及接口</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提供工程信息管理访问接口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提供人员管理信息访问接口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提供工程管理信息访问接口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提供质量管理访问接口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提供安全管理访问接口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提供绿色施工信息访问接口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提供视频监控访问接口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提供设备管理信息访问接口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建立行业监管平台数据访问接口，实现采集数据的标准化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2</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hint="eastAsia" w:ascii="华文楷体" w:hAnsi="华文楷体" w:eastAsia="华文楷体"/>
                <w:color w:val="000000" w:themeColor="text1"/>
                <w:szCs w:val="21"/>
                <w:highlight w:val="none"/>
                <w14:textFill>
                  <w14:solidFill>
                    <w14:schemeClr w14:val="tx1"/>
                  </w14:solidFill>
                </w14:textFill>
              </w:rPr>
              <w:t>数据类型</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结构化数据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非结构化数据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3</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数据格式</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应实现各数据类型的标准化，统一编码</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应支持JSON、XML、文本等数据交换格式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5"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数据内容应包含数据唯一标识、项目唯一编码、采集设备唯一编码、数据采集时间等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0"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4</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传输方式</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支持从施工现场采集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支持从其他工地管理系统共享同步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支持由具有权限的后台管理人员录入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支持有线和无线两种数据传输方式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709" w:type="dxa"/>
            <w:vMerge w:val="continue"/>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采用Http、Socket等互联网通信协议进行网络传输</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709" w:type="dxa"/>
            <w:vMerge w:val="restart"/>
            <w:vAlign w:val="center"/>
          </w:tcPr>
          <w:p>
            <w:pPr>
              <w:spacing w:line="360" w:lineRule="auto"/>
              <w:jc w:val="center"/>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5</w:t>
            </w:r>
          </w:p>
        </w:tc>
        <w:tc>
          <w:tcPr>
            <w:tcW w:w="1276" w:type="dxa"/>
            <w:vMerge w:val="restart"/>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传输频率</w:t>
            </w: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采集数据应按设置频率周期进行数据传输，传输频率应支持可配置，支持按天、小时、分钟、秒设置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rPr>
        <w:tc>
          <w:tcPr>
            <w:tcW w:w="709"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1276" w:type="dxa"/>
            <w:vMerge w:val="continue"/>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p>
        </w:tc>
        <w:tc>
          <w:tcPr>
            <w:tcW w:w="5953" w:type="dxa"/>
            <w:vAlign w:val="center"/>
          </w:tcPr>
          <w:p>
            <w:pPr>
              <w:spacing w:line="360" w:lineRule="auto"/>
              <w:rPr>
                <w:rFonts w:ascii="华文楷体" w:hAnsi="华文楷体" w:eastAsia="华文楷体"/>
                <w:color w:val="000000" w:themeColor="text1"/>
                <w:szCs w:val="21"/>
                <w:highlight w:val="none"/>
                <w14:textFill>
                  <w14:solidFill>
                    <w14:schemeClr w14:val="tx1"/>
                  </w14:solidFill>
                </w14:textFill>
              </w:rPr>
            </w:pPr>
            <w:r>
              <w:rPr>
                <w:rFonts w:ascii="华文楷体" w:hAnsi="华文楷体" w:eastAsia="华文楷体"/>
                <w:color w:val="000000" w:themeColor="text1"/>
                <w:szCs w:val="21"/>
                <w:highlight w:val="none"/>
                <w14:textFill>
                  <w14:solidFill>
                    <w14:schemeClr w14:val="tx1"/>
                  </w14:solidFill>
                </w14:textFill>
              </w:rPr>
              <w:t>报警数据应在产生时及时传输</w:t>
            </w:r>
          </w:p>
        </w:tc>
      </w:tr>
    </w:tbl>
    <w:p>
      <w:pPr>
        <w:spacing w:line="360" w:lineRule="auto"/>
        <w:rPr>
          <w:rFonts w:ascii="华文楷体" w:hAnsi="华文楷体" w:eastAsia="华文楷体"/>
          <w:color w:val="000000" w:themeColor="text1"/>
          <w:highlight w:val="none"/>
          <w14:textFill>
            <w14:solidFill>
              <w14:schemeClr w14:val="tx1"/>
            </w14:solidFill>
          </w14:textFill>
        </w:rPr>
      </w:pPr>
    </w:p>
    <w:p>
      <w:pPr>
        <w:pStyle w:val="107"/>
        <w:numPr>
          <w:ilvl w:val="0"/>
          <w:numId w:val="19"/>
        </w:numPr>
        <w:spacing w:line="360" w:lineRule="auto"/>
        <w:ind w:left="408" w:hanging="408" w:hangingChars="170"/>
        <w:rPr>
          <w:rFonts w:ascii="华文楷体" w:hAnsi="华文楷体" w:eastAsia="华文楷体"/>
          <w:b/>
          <w:color w:val="000000" w:themeColor="text1"/>
          <w:sz w:val="24"/>
          <w:szCs w:val="24"/>
          <w:highlight w:val="none"/>
          <w14:textFill>
            <w14:solidFill>
              <w14:schemeClr w14:val="tx1"/>
            </w14:solidFill>
          </w14:textFill>
        </w:rPr>
      </w:pPr>
      <w:r>
        <w:rPr>
          <w:rFonts w:hint="eastAsia" w:ascii="华文楷体" w:hAnsi="华文楷体" w:eastAsia="华文楷体"/>
          <w:b/>
          <w:color w:val="000000" w:themeColor="text1"/>
          <w:sz w:val="24"/>
          <w:szCs w:val="24"/>
          <w:highlight w:val="none"/>
          <w14:textFill>
            <w14:solidFill>
              <w14:schemeClr w14:val="tx1"/>
            </w14:solidFill>
          </w14:textFill>
        </w:rPr>
        <w:t>工地数字设备</w:t>
      </w:r>
    </w:p>
    <w:p>
      <w:pPr>
        <w:spacing w:line="360" w:lineRule="auto"/>
        <w:rPr>
          <w:rFonts w:ascii="华文楷体" w:hAnsi="华文楷体" w:eastAsia="华文楷体"/>
          <w:color w:val="000000" w:themeColor="text1"/>
          <w:sz w:val="24"/>
          <w:szCs w:val="24"/>
          <w:highlight w:val="none"/>
          <w14:textFill>
            <w14:solidFill>
              <w14:schemeClr w14:val="tx1"/>
            </w14:solidFill>
          </w14:textFill>
        </w:rPr>
      </w:pPr>
      <w:r>
        <w:rPr>
          <w:rFonts w:ascii="华文楷体" w:hAnsi="华文楷体" w:eastAsia="华文楷体"/>
          <w:color w:val="000000" w:themeColor="text1"/>
          <w:sz w:val="24"/>
          <w:szCs w:val="24"/>
          <w:highlight w:val="none"/>
          <w14:textFill>
            <w14:solidFill>
              <w14:schemeClr w14:val="tx1"/>
            </w14:solidFill>
          </w14:textFill>
        </w:rPr>
        <w:t>2.1</w:t>
      </w:r>
      <w:r>
        <w:rPr>
          <w:rFonts w:hint="eastAsia" w:ascii="华文楷体" w:hAnsi="华文楷体" w:eastAsia="华文楷体"/>
          <w:color w:val="000000" w:themeColor="text1"/>
          <w:sz w:val="24"/>
          <w:szCs w:val="24"/>
          <w:highlight w:val="none"/>
          <w14:textFill>
            <w14:solidFill>
              <w14:schemeClr w14:val="tx1"/>
            </w14:solidFill>
          </w14:textFill>
        </w:rPr>
        <w:t>门禁管理系统</w:t>
      </w:r>
    </w:p>
    <w:p>
      <w:pPr>
        <w:widowControl/>
        <w:spacing w:line="360" w:lineRule="auto"/>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2.1.1设备配置要求</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承包人</w:t>
      </w:r>
      <w:r>
        <w:rPr>
          <w:rFonts w:ascii="华文楷体" w:hAnsi="华文楷体" w:eastAsia="华文楷体" w:cs="宋体"/>
          <w:color w:val="000000" w:themeColor="text1"/>
          <w:kern w:val="0"/>
          <w:szCs w:val="21"/>
          <w:highlight w:val="none"/>
          <w14:textFill>
            <w14:solidFill>
              <w14:schemeClr w14:val="tx1"/>
            </w14:solidFill>
          </w14:textFill>
        </w:rPr>
        <w:t>负责门禁管理系统的采购、安装、试验、调试。工区入口设置门禁设备，采购的设备包括不限于人脸人行道闸、发卡器、IC卡、LED显示屏、交换机、访客机、道闸管理软件、信号线、电源线</w:t>
      </w:r>
      <w:r>
        <w:rPr>
          <w:rFonts w:hint="eastAsia" w:ascii="华文楷体" w:hAnsi="华文楷体" w:eastAsia="华文楷体" w:cs="宋体"/>
          <w:color w:val="000000" w:themeColor="text1"/>
          <w:kern w:val="0"/>
          <w:szCs w:val="21"/>
          <w:highlight w:val="none"/>
          <w14:textFill>
            <w14:solidFill>
              <w14:schemeClr w14:val="tx1"/>
            </w14:solidFill>
          </w14:textFill>
        </w:rPr>
        <w:t>。</w:t>
      </w:r>
    </w:p>
    <w:p>
      <w:pPr>
        <w:widowControl/>
        <w:spacing w:line="360" w:lineRule="auto"/>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2.1.2系统功能要求</w:t>
      </w:r>
    </w:p>
    <w:p>
      <w:pPr>
        <w:widowControl/>
        <w:spacing w:line="360" w:lineRule="auto"/>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1）人员进出管理控制</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①</w:t>
      </w:r>
      <w:r>
        <w:rPr>
          <w:rFonts w:ascii="华文楷体" w:hAnsi="华文楷体" w:eastAsia="华文楷体" w:cs="宋体"/>
          <w:color w:val="000000" w:themeColor="text1"/>
          <w:kern w:val="0"/>
          <w:szCs w:val="21"/>
          <w:highlight w:val="none"/>
          <w14:textFill>
            <w14:solidFill>
              <w14:schemeClr w14:val="tx1"/>
            </w14:solidFill>
          </w14:textFill>
        </w:rPr>
        <w:t>人员通道闸机通行支持IC卡、身份证、人脸识别等多种认证方式</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同时支持以上认证方式的组合认证配置。对于认证通过的人员予以放行。</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②</w:t>
      </w:r>
      <w:r>
        <w:rPr>
          <w:rFonts w:ascii="华文楷体" w:hAnsi="华文楷体" w:eastAsia="华文楷体" w:cs="宋体"/>
          <w:color w:val="000000" w:themeColor="text1"/>
          <w:kern w:val="0"/>
          <w:szCs w:val="21"/>
          <w:highlight w:val="none"/>
          <w14:textFill>
            <w14:solidFill>
              <w14:schemeClr w14:val="tx1"/>
            </w14:solidFill>
          </w14:textFill>
        </w:rPr>
        <w:t>门禁管理系统与安全教育管理结合</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并建立黑名单制度</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未经安全教育、列入黑名单的人员或不满足进入</w:t>
      </w:r>
      <w:r>
        <w:rPr>
          <w:rFonts w:hint="eastAsia" w:ascii="华文楷体" w:hAnsi="华文楷体" w:eastAsia="华文楷体" w:cs="宋体"/>
          <w:color w:val="000000" w:themeColor="text1"/>
          <w:kern w:val="0"/>
          <w:szCs w:val="21"/>
          <w:highlight w:val="none"/>
          <w14:textFill>
            <w14:solidFill>
              <w14:schemeClr w14:val="tx1"/>
            </w14:solidFill>
          </w14:textFill>
        </w:rPr>
        <w:t>施工现场</w:t>
      </w:r>
      <w:r>
        <w:rPr>
          <w:rFonts w:ascii="华文楷体" w:hAnsi="华文楷体" w:eastAsia="华文楷体" w:cs="宋体"/>
          <w:color w:val="000000" w:themeColor="text1"/>
          <w:kern w:val="0"/>
          <w:szCs w:val="21"/>
          <w:highlight w:val="none"/>
          <w14:textFill>
            <w14:solidFill>
              <w14:schemeClr w14:val="tx1"/>
            </w14:solidFill>
          </w14:textFill>
        </w:rPr>
        <w:t>的人员均无法进入对应区域</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人员强行闯入时会发出声光报警</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实现对人员进出的有效管控。</w:t>
      </w:r>
    </w:p>
    <w:p>
      <w:pPr>
        <w:widowControl/>
        <w:spacing w:line="360" w:lineRule="auto"/>
        <w:ind w:left="315" w:hanging="315" w:hangingChars="150"/>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2</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访客管理</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出入口访客系统的主要服务对象为外来到访人员</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通过人脸门禁系统实现对其来访及出入进行管制</w:t>
      </w:r>
      <w:r>
        <w:rPr>
          <w:rFonts w:hint="eastAsia" w:ascii="华文楷体" w:hAnsi="华文楷体" w:eastAsia="华文楷体" w:cs="宋体"/>
          <w:color w:val="000000" w:themeColor="text1"/>
          <w:kern w:val="0"/>
          <w:szCs w:val="21"/>
          <w:highlight w:val="none"/>
          <w14:textFill>
            <w14:solidFill>
              <w14:schemeClr w14:val="tx1"/>
            </w14:solidFill>
          </w14:textFill>
        </w:rPr>
        <w:t>。</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ascii="华文楷体" w:hAnsi="华文楷体" w:eastAsia="华文楷体" w:cs="宋体"/>
          <w:color w:val="000000" w:themeColor="text1"/>
          <w:kern w:val="0"/>
          <w:szCs w:val="21"/>
          <w:highlight w:val="none"/>
          <w14:textFill>
            <w14:solidFill>
              <w14:schemeClr w14:val="tx1"/>
            </w14:solidFill>
          </w14:textFill>
        </w:rPr>
        <w:t xml:space="preserve">    访客通过电话直接与被访人预约</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被访人通过该预约只需登陆访客网站填写来访人信息(身份照片)确认</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来访人通过人险识别刷脸确认是预约用户后进行人脸门禁放行。</w:t>
      </w:r>
    </w:p>
    <w:p>
      <w:pPr>
        <w:widowControl/>
        <w:spacing w:line="360" w:lineRule="auto"/>
        <w:ind w:firstLine="420" w:firstLineChars="200"/>
        <w:jc w:val="left"/>
        <w:rPr>
          <w:rFonts w:ascii="华文楷体" w:hAnsi="华文楷体" w:eastAsia="华文楷体" w:cs="宋体"/>
          <w:color w:val="000000" w:themeColor="text1"/>
          <w:kern w:val="0"/>
          <w:szCs w:val="2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没有提前预约的访客需先到前台进行人员身份信息登记</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包括人脸信息</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由前台人员联系被访人</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经被访人确认</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前</w:t>
      </w:r>
      <w:r>
        <w:rPr>
          <w:rFonts w:hint="eastAsia" w:ascii="华文楷体" w:hAnsi="华文楷体" w:eastAsia="华文楷体" w:cs="宋体"/>
          <w:color w:val="000000" w:themeColor="text1"/>
          <w:kern w:val="0"/>
          <w:szCs w:val="21"/>
          <w:highlight w:val="none"/>
          <w14:textFill>
            <w14:solidFill>
              <w14:schemeClr w14:val="tx1"/>
            </w14:solidFill>
          </w14:textFill>
        </w:rPr>
        <w:t>台</w:t>
      </w:r>
      <w:r>
        <w:rPr>
          <w:rFonts w:ascii="华文楷体" w:hAnsi="华文楷体" w:eastAsia="华文楷体" w:cs="宋体"/>
          <w:color w:val="000000" w:themeColor="text1"/>
          <w:kern w:val="0"/>
          <w:szCs w:val="21"/>
          <w:highlight w:val="none"/>
          <w14:textFill>
            <w14:solidFill>
              <w14:schemeClr w14:val="tx1"/>
            </w14:solidFill>
          </w14:textFill>
        </w:rPr>
        <w:t>人员通过扫描终端对到访人员所持身份证件照片与现场刷脸进行登记比对</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比对正确后进行分配人脸门禁权限</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来访人员则可正常进出。</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访客查询可通过来访人姓名、来访日期、被访人姓名、被访人部门及日期等查询相关访客人脸身份信息</w:t>
      </w:r>
      <w:r>
        <w:rPr>
          <w:rFonts w:hint="eastAsia" w:ascii="华文楷体" w:hAnsi="华文楷体" w:eastAsia="华文楷体" w:cs="宋体"/>
          <w:color w:val="000000" w:themeColor="text1"/>
          <w:kern w:val="0"/>
          <w:szCs w:val="21"/>
          <w:highlight w:val="none"/>
          <w14:textFill>
            <w14:solidFill>
              <w14:schemeClr w14:val="tx1"/>
            </w14:solidFill>
          </w14:textFill>
        </w:rPr>
        <w:t>，</w:t>
      </w:r>
      <w:r>
        <w:rPr>
          <w:rFonts w:ascii="华文楷体" w:hAnsi="华文楷体" w:eastAsia="华文楷体" w:cs="宋体"/>
          <w:color w:val="000000" w:themeColor="text1"/>
          <w:kern w:val="0"/>
          <w:szCs w:val="21"/>
          <w:highlight w:val="none"/>
          <w14:textFill>
            <w14:solidFill>
              <w14:schemeClr w14:val="tx1"/>
            </w14:solidFill>
          </w14:textFill>
        </w:rPr>
        <w:t>进行核对处理</w:t>
      </w:r>
      <w:r>
        <w:rPr>
          <w:rFonts w:hint="eastAsia" w:ascii="华文楷体" w:hAnsi="华文楷体" w:eastAsia="华文楷体" w:cs="宋体"/>
          <w:color w:val="000000" w:themeColor="text1"/>
          <w:kern w:val="0"/>
          <w:szCs w:val="21"/>
          <w:highlight w:val="none"/>
          <w14:textFill>
            <w14:solidFill>
              <w14:schemeClr w14:val="tx1"/>
            </w14:solidFill>
          </w14:textFill>
        </w:rPr>
        <w:t>。</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olor w:val="000000" w:themeColor="text1"/>
          <w:highlight w:val="none"/>
          <w14:textFill>
            <w14:solidFill>
              <w14:schemeClr w14:val="tx1"/>
            </w14:solidFill>
          </w14:textFill>
        </w:rPr>
        <w:t>3）</w:t>
      </w:r>
      <w:r>
        <w:rPr>
          <w:rFonts w:ascii="华文楷体" w:hAnsi="华文楷体" w:eastAsia="华文楷体"/>
          <w:color w:val="000000" w:themeColor="text1"/>
          <w:highlight w:val="none"/>
          <w14:textFill>
            <w14:solidFill>
              <w14:schemeClr w14:val="tx1"/>
            </w14:solidFill>
          </w14:textFill>
        </w:rPr>
        <w:t>工区入口LED屏幕显示内容(不限于) :当人员通过时</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可以实时地显示通过人员姓名、工号、进场时间</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同时进场各班组进场人数</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现场入场总人数</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在闲时显示欢迎语、安全提示、注意事项、施工进度等信息。LED屏幕上可以根据用户自定义设置显示的数据。</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4</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紧急开闸</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人员通道具备紧急逃生功能</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发生紧急情况如火灾等</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人员通道具有自动打开放行功能</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不会阻碍人员的紧急疏散。</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5）</w:t>
      </w:r>
      <w:r>
        <w:rPr>
          <w:rFonts w:ascii="华文楷体" w:hAnsi="华文楷体" w:eastAsia="华文楷体"/>
          <w:color w:val="000000" w:themeColor="text1"/>
          <w:highlight w:val="none"/>
          <w14:textFill>
            <w14:solidFill>
              <w14:schemeClr w14:val="tx1"/>
            </w14:solidFill>
          </w14:textFill>
        </w:rPr>
        <w:t>人数统计</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实施管理显示工地内部工作人员数量</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保证工作人员正常退场。</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6</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远程发布和管理</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可以进行一键式远程信息发布和信息管理,及时下达相关通知</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并可以督促加强企业工地现场管理制度</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做好实名制考勤。</w:t>
      </w:r>
    </w:p>
    <w:p>
      <w:pPr>
        <w:widowControl/>
        <w:spacing w:line="360" w:lineRule="auto"/>
        <w:ind w:left="360" w:hanging="360" w:hangingChars="15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sz w:val="24"/>
          <w:szCs w:val="24"/>
          <w:highlight w:val="none"/>
          <w14:textFill>
            <w14:solidFill>
              <w14:schemeClr w14:val="tx1"/>
            </w14:solidFill>
          </w14:textFill>
        </w:rPr>
        <w:t>2.2车辆进出管理</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2.2.1硬件配置要求</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承包人</w:t>
      </w:r>
      <w:r>
        <w:rPr>
          <w:rFonts w:ascii="华文楷体" w:hAnsi="华文楷体" w:eastAsia="华文楷体"/>
          <w:color w:val="000000" w:themeColor="text1"/>
          <w:highlight w:val="none"/>
          <w14:textFill>
            <w14:solidFill>
              <w14:schemeClr w14:val="tx1"/>
            </w14:solidFill>
          </w14:textFill>
        </w:rPr>
        <w:t>负责车辆进出管理系统的采购、安装、试验、调试</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相关设备包括不限于出入口一体化抓拍相机、4行4字显示屏、道闸、出入口专用常亮LED补光灯、数字车辆检测器、出入口相机立杆、屏蔽双绞线、地感线圈、施工辅材</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同时需满足功能要求。</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2.2.2系统功能要求</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1)自动识别、智能控制</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车辆进入识别范围后</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通过识别相机抓拍车辆图片</w:t>
      </w:r>
      <w:r>
        <w:rPr>
          <w:rFonts w:hint="eastAsia" w:ascii="华文楷体" w:hAnsi="华文楷体" w:eastAsia="华文楷体"/>
          <w:color w:val="000000" w:themeColor="text1"/>
          <w:highlight w:val="none"/>
          <w14:textFill>
            <w14:solidFill>
              <w14:schemeClr w14:val="tx1"/>
            </w14:solidFill>
          </w14:textFill>
        </w:rPr>
        <w:t>并</w:t>
      </w:r>
      <w:r>
        <w:rPr>
          <w:rFonts w:ascii="华文楷体" w:hAnsi="华文楷体" w:eastAsia="华文楷体"/>
          <w:color w:val="000000" w:themeColor="text1"/>
          <w:highlight w:val="none"/>
          <w14:textFill>
            <w14:solidFill>
              <w14:schemeClr w14:val="tx1"/>
            </w14:solidFill>
          </w14:textFill>
        </w:rPr>
        <w:t>识别车辆车牌</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自动判定能否让车辆正常通过。</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2)视频抓拍功能</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车辆进入抓拍范围后</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自动实现对进入车辆的拍摄</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并通过车牌识别仪</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提取车辆的车牌号码进行比对</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用于辅助查询。</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olor w:val="000000" w:themeColor="text1"/>
          <w:highlight w:val="none"/>
          <w14:textFill>
            <w14:solidFill>
              <w14:schemeClr w14:val="tx1"/>
            </w14:solidFill>
          </w14:textFill>
        </w:rPr>
        <w:t>3</w:t>
      </w:r>
      <w:r>
        <w:rPr>
          <w:rFonts w:ascii="华文楷体" w:hAnsi="华文楷体" w:eastAsia="华文楷体"/>
          <w:color w:val="000000" w:themeColor="text1"/>
          <w:highlight w:val="none"/>
          <w14:textFill>
            <w14:solidFill>
              <w14:schemeClr w14:val="tx1"/>
            </w14:solidFill>
          </w14:textFill>
        </w:rPr>
        <w:t>)报警提示功能</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根据需要选择警示灯、语音方式来提示非法卡、未授权卡</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并在报警时提供联动信号进行自动抓拍。</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4)无卡(外来)车辆实施严格监管</w:t>
      </w:r>
    </w:p>
    <w:p>
      <w:pPr>
        <w:widowControl/>
        <w:spacing w:line="360" w:lineRule="auto"/>
        <w:ind w:firstLine="420" w:firstLineChars="200"/>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通过集成照牌识别、图像比对、路障拦截等技术</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达到由电脑自动识别监控与警卫(门卫、保安)人员手工操作相结合的方式实施对外来(无卡)车辆有效监管</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确保对无卡(外来)车辆信息的录取和车辆通行的监管。</w:t>
      </w:r>
    </w:p>
    <w:p>
      <w:pPr>
        <w:widowControl/>
        <w:spacing w:line="360" w:lineRule="auto"/>
        <w:ind w:left="360" w:hanging="360" w:hangingChars="150"/>
        <w:jc w:val="left"/>
        <w:rPr>
          <w:rFonts w:ascii="华文楷体" w:hAnsi="华文楷体" w:eastAsia="华文楷体"/>
          <w:color w:val="000000" w:themeColor="text1"/>
          <w:sz w:val="24"/>
          <w:szCs w:val="24"/>
          <w:highlight w:val="none"/>
          <w14:textFill>
            <w14:solidFill>
              <w14:schemeClr w14:val="tx1"/>
            </w14:solidFill>
          </w14:textFill>
        </w:rPr>
      </w:pPr>
      <w:r>
        <w:rPr>
          <w:rFonts w:ascii="华文楷体" w:hAnsi="华文楷体" w:eastAsia="华文楷体"/>
          <w:color w:val="000000" w:themeColor="text1"/>
          <w:sz w:val="24"/>
          <w:szCs w:val="24"/>
          <w:highlight w:val="none"/>
          <w14:textFill>
            <w14:solidFill>
              <w14:schemeClr w14:val="tx1"/>
            </w14:solidFill>
          </w14:textFill>
        </w:rPr>
        <w:t>2.3</w:t>
      </w:r>
      <w:r>
        <w:rPr>
          <w:rFonts w:hint="eastAsia" w:ascii="华文楷体" w:hAnsi="华文楷体" w:eastAsia="华文楷体"/>
          <w:color w:val="000000" w:themeColor="text1"/>
          <w:sz w:val="24"/>
          <w:szCs w:val="24"/>
          <w:highlight w:val="none"/>
          <w14:textFill>
            <w14:solidFill>
              <w14:schemeClr w14:val="tx1"/>
            </w14:solidFill>
          </w14:textFill>
        </w:rPr>
        <w:t>视频监控系统</w:t>
      </w:r>
    </w:p>
    <w:p>
      <w:pPr>
        <w:spacing w:line="360" w:lineRule="auto"/>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2.3.1设备配置要求</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承包人</w:t>
      </w:r>
      <w:r>
        <w:rPr>
          <w:rFonts w:ascii="华文楷体" w:hAnsi="华文楷体" w:eastAsia="华文楷体"/>
          <w:color w:val="000000" w:themeColor="text1"/>
          <w:highlight w:val="none"/>
          <w14:textFill>
            <w14:solidFill>
              <w14:schemeClr w14:val="tx1"/>
            </w14:solidFill>
          </w14:textFill>
        </w:rPr>
        <w:t>负责视频监控系统的采购、安装、试验、调试</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施工工作区域监控点布置设备包括不限于高清网络红外枪机、高清网络红外球机、人脸识别摄像机</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重要位置、工人生活区、管理区监控点布置设备包括不限于200万像素高清网络红外枪机、200万像素高清网络红外球机人脸识别摄像机</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后端及线缆设备包括不限于网络硬盘录像机、智能分析服务器</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网络交换机、光纤收发器、电源线、网线及光纤、安装辅材</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同时需满足功能要求。</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2.3.2</w:t>
      </w:r>
      <w:r>
        <w:rPr>
          <w:rFonts w:hint="eastAsia" w:ascii="华文楷体" w:hAnsi="华文楷体" w:eastAsia="华文楷体"/>
          <w:color w:val="000000" w:themeColor="text1"/>
          <w:highlight w:val="none"/>
          <w14:textFill>
            <w14:solidFill>
              <w14:schemeClr w14:val="tx1"/>
            </w14:solidFill>
          </w14:textFill>
        </w:rPr>
        <w:t>摄</w:t>
      </w:r>
      <w:r>
        <w:rPr>
          <w:rFonts w:ascii="华文楷体" w:hAnsi="华文楷体" w:eastAsia="华文楷体"/>
          <w:color w:val="000000" w:themeColor="text1"/>
          <w:highlight w:val="none"/>
          <w14:textFill>
            <w14:solidFill>
              <w14:schemeClr w14:val="tx1"/>
            </w14:solidFill>
          </w14:textFill>
        </w:rPr>
        <w:t>像头布置要求</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olor w:val="000000" w:themeColor="text1"/>
          <w:highlight w:val="none"/>
          <w14:textFill>
            <w14:solidFill>
              <w14:schemeClr w14:val="tx1"/>
            </w14:solidFill>
          </w14:textFill>
        </w:rPr>
        <w:t>承包人应按照在用地红线范围内的室外区域监控全履盖无死角的原则布置</w:t>
      </w:r>
      <w:r>
        <w:rPr>
          <w:rFonts w:ascii="华文楷体" w:hAnsi="华文楷体" w:eastAsia="华文楷体"/>
          <w:color w:val="000000" w:themeColor="text1"/>
          <w:highlight w:val="none"/>
          <w14:textFill>
            <w14:solidFill>
              <w14:schemeClr w14:val="tx1"/>
            </w14:solidFill>
          </w14:textFill>
        </w:rPr>
        <w:t>相应区域的摄像头、存储硬盘等设备</w:t>
      </w:r>
      <w:r>
        <w:rPr>
          <w:rFonts w:hint="eastAsia" w:ascii="华文楷体" w:hAnsi="华文楷体" w:eastAsia="华文楷体"/>
          <w:color w:val="000000" w:themeColor="text1"/>
          <w:highlight w:val="none"/>
          <w14:textFill>
            <w14:solidFill>
              <w14:schemeClr w14:val="tx1"/>
            </w14:solidFill>
          </w14:textFill>
        </w:rPr>
        <w:t>，并将监控中心设备布置图和综合布线图提交发包人，</w:t>
      </w:r>
      <w:r>
        <w:rPr>
          <w:rFonts w:ascii="华文楷体" w:hAnsi="华文楷体" w:eastAsia="华文楷体"/>
          <w:color w:val="000000" w:themeColor="text1"/>
          <w:highlight w:val="none"/>
          <w14:textFill>
            <w14:solidFill>
              <w14:schemeClr w14:val="tx1"/>
            </w14:solidFill>
          </w14:textFill>
        </w:rPr>
        <w:t>具体摄像头布置及选用设备如下:</w:t>
      </w:r>
    </w:p>
    <w:tbl>
      <w:tblPr>
        <w:tblStyle w:val="37"/>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2552"/>
        <w:gridCol w:w="1417"/>
        <w:gridCol w:w="354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b/>
                <w:color w:val="000000" w:themeColor="text1"/>
                <w:highlight w:val="none"/>
                <w14:textFill>
                  <w14:solidFill>
                    <w14:schemeClr w14:val="tx1"/>
                  </w14:solidFill>
                </w14:textFill>
              </w:rPr>
            </w:pPr>
            <w:r>
              <w:rPr>
                <w:rFonts w:ascii="华文楷体" w:hAnsi="华文楷体" w:eastAsia="华文楷体"/>
                <w:b/>
                <w:color w:val="000000" w:themeColor="text1"/>
                <w:highlight w:val="none"/>
                <w14:textFill>
                  <w14:solidFill>
                    <w14:schemeClr w14:val="tx1"/>
                  </w14:solidFill>
                </w14:textFill>
              </w:rPr>
              <w:t>序号</w:t>
            </w:r>
          </w:p>
        </w:tc>
        <w:tc>
          <w:tcPr>
            <w:tcW w:w="2552" w:type="dxa"/>
            <w:vAlign w:val="center"/>
          </w:tcPr>
          <w:p>
            <w:pPr>
              <w:spacing w:line="360" w:lineRule="auto"/>
              <w:jc w:val="center"/>
              <w:rPr>
                <w:rFonts w:ascii="华文楷体" w:hAnsi="华文楷体" w:eastAsia="华文楷体"/>
                <w:b/>
                <w:color w:val="000000" w:themeColor="text1"/>
                <w:highlight w:val="none"/>
                <w14:textFill>
                  <w14:solidFill>
                    <w14:schemeClr w14:val="tx1"/>
                  </w14:solidFill>
                </w14:textFill>
              </w:rPr>
            </w:pPr>
            <w:r>
              <w:rPr>
                <w:rFonts w:ascii="华文楷体" w:hAnsi="华文楷体" w:eastAsia="华文楷体"/>
                <w:b/>
                <w:color w:val="000000" w:themeColor="text1"/>
                <w:highlight w:val="none"/>
                <w14:textFill>
                  <w14:solidFill>
                    <w14:schemeClr w14:val="tx1"/>
                  </w14:solidFill>
                </w14:textFill>
              </w:rPr>
              <w:t>摄像头安装位置</w:t>
            </w:r>
          </w:p>
        </w:tc>
        <w:tc>
          <w:tcPr>
            <w:tcW w:w="1417" w:type="dxa"/>
            <w:vAlign w:val="center"/>
          </w:tcPr>
          <w:p>
            <w:pPr>
              <w:spacing w:line="360" w:lineRule="auto"/>
              <w:jc w:val="center"/>
              <w:rPr>
                <w:rFonts w:ascii="华文楷体" w:hAnsi="华文楷体" w:eastAsia="华文楷体"/>
                <w:b/>
                <w:color w:val="000000" w:themeColor="text1"/>
                <w:highlight w:val="none"/>
                <w14:textFill>
                  <w14:solidFill>
                    <w14:schemeClr w14:val="tx1"/>
                  </w14:solidFill>
                </w14:textFill>
              </w:rPr>
            </w:pPr>
            <w:r>
              <w:rPr>
                <w:rFonts w:ascii="华文楷体" w:hAnsi="华文楷体" w:eastAsia="华文楷体"/>
                <w:b/>
                <w:color w:val="000000" w:themeColor="text1"/>
                <w:highlight w:val="none"/>
                <w14:textFill>
                  <w14:solidFill>
                    <w14:schemeClr w14:val="tx1"/>
                  </w14:solidFill>
                </w14:textFill>
              </w:rPr>
              <w:t>数量</w:t>
            </w:r>
          </w:p>
        </w:tc>
        <w:tc>
          <w:tcPr>
            <w:tcW w:w="3544" w:type="dxa"/>
            <w:vAlign w:val="center"/>
          </w:tcPr>
          <w:p>
            <w:pPr>
              <w:spacing w:line="360" w:lineRule="auto"/>
              <w:jc w:val="center"/>
              <w:rPr>
                <w:rFonts w:ascii="华文楷体" w:hAnsi="华文楷体" w:eastAsia="华文楷体"/>
                <w:b/>
                <w:color w:val="000000" w:themeColor="text1"/>
                <w:highlight w:val="none"/>
                <w14:textFill>
                  <w14:solidFill>
                    <w14:schemeClr w14:val="tx1"/>
                  </w14:solidFill>
                </w14:textFill>
              </w:rPr>
            </w:pPr>
            <w:r>
              <w:rPr>
                <w:rFonts w:ascii="华文楷体" w:hAnsi="华文楷体" w:eastAsia="华文楷体"/>
                <w:b/>
                <w:color w:val="000000" w:themeColor="text1"/>
                <w:highlight w:val="none"/>
                <w14:textFill>
                  <w14:solidFill>
                    <w14:schemeClr w14:val="tx1"/>
                  </w14:solidFill>
                </w14:textFill>
              </w:rPr>
              <w:t>安装设备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一</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重要位置监控点布置</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1</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工地出入口</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高清红外网络高速智能球机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工地出入口</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人脸识别摄像机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3</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材料堆放区域</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4</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重大危险源区域</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高清红外网络高速智能球机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5</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材料加工区域</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6</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工区关键通道位置</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7</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围墙周界</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8</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其它区域</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二</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工人生活区管理区监控点布置</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1</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生活区出入口</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高清红外网络高速智能球机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停车场</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高清红外网络高速智能球机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3</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厨房</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70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4</w:t>
            </w:r>
          </w:p>
        </w:tc>
        <w:tc>
          <w:tcPr>
            <w:tcW w:w="2552"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生活区关键通道位置</w:t>
            </w:r>
          </w:p>
        </w:tc>
        <w:tc>
          <w:tcPr>
            <w:tcW w:w="1417"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按实际需求</w:t>
            </w:r>
          </w:p>
        </w:tc>
        <w:tc>
          <w:tcPr>
            <w:tcW w:w="3544" w:type="dxa"/>
            <w:vAlign w:val="center"/>
          </w:tcPr>
          <w:p>
            <w:pPr>
              <w:spacing w:line="360" w:lineRule="auto"/>
              <w:jc w:val="center"/>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高清红外网络枪型摄像机</w:t>
            </w:r>
          </w:p>
        </w:tc>
      </w:tr>
    </w:tbl>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2.3.3系统功能要求</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1</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实时视频播放及录像</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①</w:t>
      </w:r>
      <w:r>
        <w:rPr>
          <w:rFonts w:ascii="华文楷体" w:hAnsi="华文楷体" w:eastAsia="华文楷体"/>
          <w:color w:val="000000" w:themeColor="text1"/>
          <w:highlight w:val="none"/>
          <w14:textFill>
            <w14:solidFill>
              <w14:schemeClr w14:val="tx1"/>
            </w14:solidFill>
          </w14:textFill>
        </w:rPr>
        <w:t>支持实时预览</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支持多窗口预览</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②</w:t>
      </w:r>
      <w:r>
        <w:rPr>
          <w:rFonts w:ascii="华文楷体" w:hAnsi="华文楷体" w:eastAsia="华文楷体"/>
          <w:color w:val="000000" w:themeColor="text1"/>
          <w:highlight w:val="none"/>
          <w14:textFill>
            <w14:solidFill>
              <w14:schemeClr w14:val="tx1"/>
            </w14:solidFill>
          </w14:textFill>
        </w:rPr>
        <w:t>支持本地录像</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③</w:t>
      </w:r>
      <w:r>
        <w:rPr>
          <w:rFonts w:ascii="华文楷体" w:hAnsi="华文楷体" w:eastAsia="华文楷体"/>
          <w:color w:val="000000" w:themeColor="text1"/>
          <w:highlight w:val="none"/>
          <w14:textFill>
            <w14:solidFill>
              <w14:schemeClr w14:val="tx1"/>
            </w14:solidFill>
          </w14:textFill>
        </w:rPr>
        <w:t>支持抓图、连续抓图</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④</w:t>
      </w:r>
      <w:r>
        <w:rPr>
          <w:rFonts w:ascii="华文楷体" w:hAnsi="华文楷体" w:eastAsia="华文楷体"/>
          <w:color w:val="000000" w:themeColor="text1"/>
          <w:highlight w:val="none"/>
          <w14:textFill>
            <w14:solidFill>
              <w14:schemeClr w14:val="tx1"/>
            </w14:solidFill>
          </w14:textFill>
        </w:rPr>
        <w:t>支持主码流、辅码流、三码流</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⑤</w:t>
      </w:r>
      <w:r>
        <w:rPr>
          <w:rFonts w:ascii="华文楷体" w:hAnsi="华文楷体" w:eastAsia="华文楷体"/>
          <w:color w:val="000000" w:themeColor="text1"/>
          <w:highlight w:val="none"/>
          <w14:textFill>
            <w14:solidFill>
              <w14:schemeClr w14:val="tx1"/>
            </w14:solidFill>
          </w14:textFill>
        </w:rPr>
        <w:t>支持实时优先、流畅优先、均衡、自定义等模式</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⑥</w:t>
      </w:r>
      <w:r>
        <w:rPr>
          <w:rFonts w:ascii="华文楷体" w:hAnsi="华文楷体" w:eastAsia="华文楷体"/>
          <w:color w:val="000000" w:themeColor="text1"/>
          <w:highlight w:val="none"/>
          <w14:textFill>
            <w14:solidFill>
              <w14:schemeClr w14:val="tx1"/>
            </w14:solidFill>
          </w14:textFill>
        </w:rPr>
        <w:t>支持监视画面的亮度,对比度等参数调整</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⑦</w:t>
      </w:r>
      <w:r>
        <w:rPr>
          <w:rFonts w:ascii="华文楷体" w:hAnsi="华文楷体" w:eastAsia="华文楷体"/>
          <w:color w:val="000000" w:themeColor="text1"/>
          <w:highlight w:val="none"/>
          <w14:textFill>
            <w14:solidFill>
              <w14:schemeClr w14:val="tx1"/>
            </w14:solidFill>
          </w14:textFill>
        </w:rPr>
        <w:t>支持1/4/6/8/9/13/16/20/25/36/64多分屏画面显示,可自定义视频画面分</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割</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2</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录像回放</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 xml:space="preserve"> </w:t>
      </w:r>
      <w:r>
        <w:rPr>
          <w:rFonts w:ascii="华文楷体" w:hAnsi="华文楷体" w:eastAsia="华文楷体" w:cs="宋体"/>
          <w:color w:val="000000" w:themeColor="text1"/>
          <w:kern w:val="0"/>
          <w:szCs w:val="2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①</w:t>
      </w:r>
      <w:r>
        <w:rPr>
          <w:rFonts w:ascii="华文楷体" w:hAnsi="华文楷体" w:eastAsia="华文楷体"/>
          <w:color w:val="000000" w:themeColor="text1"/>
          <w:highlight w:val="none"/>
          <w14:textFill>
            <w14:solidFill>
              <w14:schemeClr w14:val="tx1"/>
            </w14:solidFill>
          </w14:textFill>
        </w:rPr>
        <w:t>支持在日历上以不同颜色</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展现通道的录像天数分布状况、支持图形化和列表方式展示录像查询结果、支持以时间刻度方式在看录像结果</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可滚动调节刻度大小</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精确到秒</w:t>
      </w:r>
      <w:r>
        <w:rPr>
          <w:rFonts w:hint="eastAsia" w:ascii="华文楷体" w:hAnsi="华文楷体" w:eastAsia="华文楷体"/>
          <w:color w:val="000000" w:themeColor="text1"/>
          <w:highlight w:val="none"/>
          <w14:textFill>
            <w14:solidFill>
              <w14:schemeClr w14:val="tx1"/>
            </w14:solidFill>
          </w14:textFill>
        </w:rPr>
        <w:t>。</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②</w:t>
      </w:r>
      <w:r>
        <w:rPr>
          <w:rFonts w:ascii="华文楷体" w:hAnsi="华文楷体" w:eastAsia="华文楷体"/>
          <w:color w:val="000000" w:themeColor="text1"/>
          <w:highlight w:val="none"/>
          <w14:textFill>
            <w14:solidFill>
              <w14:schemeClr w14:val="tx1"/>
            </w14:solidFill>
          </w14:textFill>
        </w:rPr>
        <w:t>支持录像类型选择显示,支持的类型有:全部/定时录像/报警录像/移动侦测/视频丢失/视频遮挡/录像标签/智能报管</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③</w:t>
      </w:r>
      <w:r>
        <w:rPr>
          <w:rFonts w:ascii="华文楷体" w:hAnsi="华文楷体" w:eastAsia="华文楷体"/>
          <w:color w:val="000000" w:themeColor="text1"/>
          <w:highlight w:val="none"/>
          <w14:textFill>
            <w14:solidFill>
              <w14:schemeClr w14:val="tx1"/>
            </w14:solidFill>
          </w14:textFill>
        </w:rPr>
        <w:t>支持多路同步回放,最大同时三十六路回放</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支持切片回放</w:t>
      </w:r>
    </w:p>
    <w:p>
      <w:pPr>
        <w:widowControl/>
        <w:spacing w:line="360" w:lineRule="auto"/>
        <w:jc w:val="left"/>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s="宋体"/>
          <w:color w:val="000000" w:themeColor="text1"/>
          <w:kern w:val="0"/>
          <w:szCs w:val="21"/>
          <w:highlight w:val="none"/>
          <w14:textFill>
            <w14:solidFill>
              <w14:schemeClr w14:val="tx1"/>
            </w14:solidFill>
          </w14:textFill>
        </w:rPr>
        <w:t>④</w:t>
      </w:r>
      <w:r>
        <w:rPr>
          <w:rFonts w:ascii="华文楷体" w:hAnsi="华文楷体" w:eastAsia="华文楷体"/>
          <w:color w:val="000000" w:themeColor="text1"/>
          <w:highlight w:val="none"/>
          <w14:textFill>
            <w14:solidFill>
              <w14:schemeClr w14:val="tx1"/>
            </w14:solidFill>
          </w14:textFill>
        </w:rPr>
        <w:t>支持1/2、 1/4、 1/8</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2、 4、 8、16倍速快慢放</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支持逐</w:t>
      </w:r>
      <w:r>
        <w:rPr>
          <w:rFonts w:hint="eastAsia" w:ascii="华文楷体" w:hAnsi="华文楷体" w:eastAsia="华文楷体"/>
          <w:color w:val="000000" w:themeColor="text1"/>
          <w:highlight w:val="none"/>
          <w14:textFill>
            <w14:solidFill>
              <w14:schemeClr w14:val="tx1"/>
            </w14:solidFill>
          </w14:textFill>
        </w:rPr>
        <w:t>帧</w:t>
      </w:r>
      <w:r>
        <w:rPr>
          <w:rFonts w:ascii="华文楷体" w:hAnsi="华文楷体" w:eastAsia="华文楷体"/>
          <w:color w:val="000000" w:themeColor="text1"/>
          <w:highlight w:val="none"/>
          <w14:textFill>
            <w14:solidFill>
              <w14:schemeClr w14:val="tx1"/>
            </w14:solidFill>
          </w14:textFill>
        </w:rPr>
        <w:t>播放</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支持中心录像倒放</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支持按时间、按文件下载录像</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3</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人脸抓拍应用</w:t>
      </w:r>
    </w:p>
    <w:p>
      <w:pPr>
        <w:spacing w:line="360" w:lineRule="auto"/>
        <w:ind w:left="420" w:left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①</w:t>
      </w:r>
      <w:r>
        <w:rPr>
          <w:rFonts w:ascii="华文楷体" w:hAnsi="华文楷体" w:eastAsia="华文楷体"/>
          <w:color w:val="000000" w:themeColor="text1"/>
          <w:highlight w:val="none"/>
          <w14:textFill>
            <w14:solidFill>
              <w14:schemeClr w14:val="tx1"/>
            </w14:solidFill>
          </w14:textFill>
        </w:rPr>
        <w:t>人脸监控:对指定视频通道进行人脸监控</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人脸抓拍实时显示。</w:t>
      </w:r>
    </w:p>
    <w:p>
      <w:pPr>
        <w:spacing w:line="360" w:lineRule="auto"/>
        <w:ind w:left="420" w:left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②</w:t>
      </w:r>
      <w:r>
        <w:rPr>
          <w:rFonts w:ascii="华文楷体" w:hAnsi="华文楷体" w:eastAsia="华文楷体"/>
          <w:color w:val="000000" w:themeColor="text1"/>
          <w:highlight w:val="none"/>
          <w14:textFill>
            <w14:solidFill>
              <w14:schemeClr w14:val="tx1"/>
            </w14:solidFill>
          </w14:textFill>
        </w:rPr>
        <w:t>人脸库检索:导入人脸图片,输入查询条件,在系统注册的人险中检案符合条件的图片。</w:t>
      </w:r>
      <w:r>
        <w:rPr>
          <w:rFonts w:hint="eastAsia" w:ascii="华文楷体" w:hAnsi="华文楷体" w:eastAsia="华文楷体" w:cs="宋体"/>
          <w:color w:val="000000" w:themeColor="text1"/>
          <w:kern w:val="0"/>
          <w:szCs w:val="21"/>
          <w:highlight w:val="none"/>
          <w14:textFill>
            <w14:solidFill>
              <w14:schemeClr w14:val="tx1"/>
            </w14:solidFill>
          </w14:textFill>
        </w:rPr>
        <w:t>③</w:t>
      </w:r>
      <w:r>
        <w:rPr>
          <w:rFonts w:ascii="华文楷体" w:hAnsi="华文楷体" w:eastAsia="华文楷体"/>
          <w:color w:val="000000" w:themeColor="text1"/>
          <w:highlight w:val="none"/>
          <w14:textFill>
            <w14:solidFill>
              <w14:schemeClr w14:val="tx1"/>
            </w14:solidFill>
          </w14:textFill>
        </w:rPr>
        <w:t>报警检索:对历史人脸抓拍报警进行检索,包括黑名单、白名单</w:t>
      </w:r>
    </w:p>
    <w:p>
      <w:pPr>
        <w:spacing w:line="360" w:lineRule="auto"/>
        <w:ind w:left="420" w:left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s="宋体"/>
          <w:color w:val="000000" w:themeColor="text1"/>
          <w:kern w:val="0"/>
          <w:szCs w:val="21"/>
          <w:highlight w:val="none"/>
          <w14:textFill>
            <w14:solidFill>
              <w14:schemeClr w14:val="tx1"/>
            </w14:solidFill>
          </w14:textFill>
        </w:rPr>
        <w:t>④</w:t>
      </w:r>
      <w:r>
        <w:rPr>
          <w:rFonts w:ascii="华文楷体" w:hAnsi="华文楷体" w:eastAsia="华文楷体"/>
          <w:color w:val="000000" w:themeColor="text1"/>
          <w:highlight w:val="none"/>
          <w14:textFill>
            <w14:solidFill>
              <w14:schemeClr w14:val="tx1"/>
            </w14:solidFill>
          </w14:textFill>
        </w:rPr>
        <w:t>人数统计</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出入口是人员进出的必经通道。在重要通道门口做进出人数统计</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比对进入及离开出入通道的具体人数</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可以有效辅助工地的日常管理工作。</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w:t>
      </w:r>
      <w:r>
        <w:rPr>
          <w:rFonts w:hint="eastAsia" w:ascii="华文楷体" w:hAnsi="华文楷体" w:eastAsia="华文楷体"/>
          <w:color w:val="000000" w:themeColor="text1"/>
          <w:highlight w:val="none"/>
          <w14:textFill>
            <w14:solidFill>
              <w14:schemeClr w14:val="tx1"/>
            </w14:solidFill>
          </w14:textFill>
        </w:rPr>
        <w:t>4）</w:t>
      </w:r>
      <w:r>
        <w:rPr>
          <w:rFonts w:ascii="华文楷体" w:hAnsi="华文楷体" w:eastAsia="华文楷体"/>
          <w:color w:val="000000" w:themeColor="text1"/>
          <w:highlight w:val="none"/>
          <w14:textFill>
            <w14:solidFill>
              <w14:schemeClr w14:val="tx1"/>
            </w14:solidFill>
          </w14:textFill>
        </w:rPr>
        <w:t>存储要求</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 xml:space="preserve">    硬盘数量需满足存储</w:t>
      </w:r>
      <w:r>
        <w:rPr>
          <w:rFonts w:hint="eastAsia" w:ascii="华文楷体" w:hAnsi="华文楷体" w:eastAsia="华文楷体"/>
          <w:color w:val="000000" w:themeColor="text1"/>
          <w:highlight w:val="none"/>
          <w14:textFill>
            <w14:solidFill>
              <w14:schemeClr w14:val="tx1"/>
            </w14:solidFill>
          </w14:textFill>
        </w:rPr>
        <w:t>9</w:t>
      </w:r>
      <w:r>
        <w:rPr>
          <w:rFonts w:ascii="华文楷体" w:hAnsi="华文楷体" w:eastAsia="华文楷体"/>
          <w:color w:val="000000" w:themeColor="text1"/>
          <w:highlight w:val="none"/>
          <w14:textFill>
            <w14:solidFill>
              <w14:schemeClr w14:val="tx1"/>
            </w14:solidFill>
          </w14:textFill>
        </w:rPr>
        <w:t>0</w:t>
      </w:r>
      <w:r>
        <w:rPr>
          <w:rFonts w:hint="eastAsia" w:ascii="华文楷体" w:hAnsi="华文楷体" w:eastAsia="华文楷体"/>
          <w:color w:val="000000" w:themeColor="text1"/>
          <w:highlight w:val="none"/>
          <w14:textFill>
            <w14:solidFill>
              <w14:schemeClr w14:val="tx1"/>
            </w14:solidFill>
          </w14:textFill>
        </w:rPr>
        <w:t>天</w:t>
      </w:r>
      <w:r>
        <w:rPr>
          <w:rFonts w:ascii="华文楷体" w:hAnsi="华文楷体" w:eastAsia="华文楷体"/>
          <w:color w:val="000000" w:themeColor="text1"/>
          <w:highlight w:val="none"/>
          <w14:textFill>
            <w14:solidFill>
              <w14:schemeClr w14:val="tx1"/>
            </w14:solidFill>
          </w14:textFill>
        </w:rPr>
        <w:t>的录像文件。</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5）接口要求</w:t>
      </w:r>
    </w:p>
    <w:p>
      <w:pPr>
        <w:spacing w:line="360" w:lineRule="auto"/>
        <w:ind w:firstLine="420" w:firstLineChars="200"/>
        <w:rPr>
          <w:rFonts w:ascii="华文楷体" w:hAnsi="华文楷体" w:eastAsia="华文楷体"/>
          <w:color w:val="000000" w:themeColor="text1"/>
          <w:sz w:val="24"/>
          <w:szCs w:val="24"/>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以上的统计和格式数据应通过http、socket等主流协议，提供web-service等格式接口；视频数据应提供http、rtsp等格式接口。</w:t>
      </w:r>
    </w:p>
    <w:p>
      <w:pPr>
        <w:spacing w:line="360" w:lineRule="auto"/>
        <w:rPr>
          <w:rFonts w:ascii="华文楷体" w:hAnsi="华文楷体" w:eastAsia="华文楷体"/>
          <w:color w:val="000000" w:themeColor="text1"/>
          <w:sz w:val="24"/>
          <w:szCs w:val="24"/>
          <w:highlight w:val="none"/>
          <w14:textFill>
            <w14:solidFill>
              <w14:schemeClr w14:val="tx1"/>
            </w14:solidFill>
          </w14:textFill>
        </w:rPr>
      </w:pPr>
      <w:r>
        <w:rPr>
          <w:rFonts w:ascii="华文楷体" w:hAnsi="华文楷体" w:eastAsia="华文楷体"/>
          <w:color w:val="000000" w:themeColor="text1"/>
          <w:sz w:val="24"/>
          <w:szCs w:val="24"/>
          <w:highlight w:val="none"/>
          <w14:textFill>
            <w14:solidFill>
              <w14:schemeClr w14:val="tx1"/>
            </w14:solidFill>
          </w14:textFill>
        </w:rPr>
        <w:t>2.4</w:t>
      </w:r>
      <w:r>
        <w:rPr>
          <w:rFonts w:hint="eastAsia" w:ascii="华文楷体" w:hAnsi="华文楷体" w:eastAsia="华文楷体"/>
          <w:color w:val="000000" w:themeColor="text1"/>
          <w:sz w:val="24"/>
          <w:szCs w:val="24"/>
          <w:highlight w:val="none"/>
          <w14:textFill>
            <w14:solidFill>
              <w14:schemeClr w14:val="tx1"/>
            </w14:solidFill>
          </w14:textFill>
        </w:rPr>
        <w:t>安全、人员、质量、文明施工管理系统</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szCs w:val="21"/>
          <w:highlight w:val="none"/>
          <w14:textFill>
            <w14:solidFill>
              <w14:schemeClr w14:val="tx1"/>
            </w14:solidFill>
          </w14:textFill>
        </w:rPr>
        <w:t>承包人须在安全、人员、质量、文明施工各自对应的</w:t>
      </w:r>
      <w:r>
        <w:rPr>
          <w:rFonts w:ascii="华文楷体" w:hAnsi="华文楷体" w:eastAsia="华文楷体"/>
          <w:color w:val="000000" w:themeColor="text1"/>
          <w:szCs w:val="21"/>
          <w:highlight w:val="none"/>
          <w14:textFill>
            <w14:solidFill>
              <w14:schemeClr w14:val="tx1"/>
            </w14:solidFill>
          </w14:textFill>
        </w:rPr>
        <w:t>管理平台做好通讯联络清单、教育培训、班前班后交底等业务的如实填报</w:t>
      </w:r>
      <w:r>
        <w:rPr>
          <w:rFonts w:hint="eastAsia" w:ascii="华文楷体" w:hAnsi="华文楷体" w:eastAsia="华文楷体"/>
          <w:color w:val="000000" w:themeColor="text1"/>
          <w:szCs w:val="21"/>
          <w:highlight w:val="none"/>
          <w14:textFill>
            <w14:solidFill>
              <w14:schemeClr w14:val="tx1"/>
            </w14:solidFill>
          </w14:textFill>
        </w:rPr>
        <w:t>，</w:t>
      </w:r>
      <w:r>
        <w:rPr>
          <w:rFonts w:ascii="华文楷体" w:hAnsi="华文楷体" w:eastAsia="华文楷体"/>
          <w:color w:val="000000" w:themeColor="text1"/>
          <w:szCs w:val="21"/>
          <w:highlight w:val="none"/>
          <w14:textFill>
            <w14:solidFill>
              <w14:schemeClr w14:val="tx1"/>
            </w14:solidFill>
          </w14:textFill>
        </w:rPr>
        <w:t>分别在对应系统做好</w:t>
      </w:r>
      <w:r>
        <w:rPr>
          <w:rFonts w:hint="eastAsia" w:ascii="华文楷体" w:hAnsi="华文楷体" w:eastAsia="华文楷体"/>
          <w:color w:val="000000" w:themeColor="text1"/>
          <w:szCs w:val="21"/>
          <w:highlight w:val="none"/>
          <w14:textFill>
            <w14:solidFill>
              <w14:schemeClr w14:val="tx1"/>
            </w14:solidFill>
          </w14:textFill>
        </w:rPr>
        <w:t>相关记录与台账。承包人应提供安全巡检系统，保存安全管理人员的巡检路线、内容和记录。</w:t>
      </w:r>
      <w:r>
        <w:rPr>
          <w:rFonts w:hint="eastAsia" w:ascii="华文楷体" w:hAnsi="华文楷体" w:eastAsia="华文楷体"/>
          <w:color w:val="000000" w:themeColor="text1"/>
          <w:highlight w:val="none"/>
          <w14:textFill>
            <w14:solidFill>
              <w14:schemeClr w14:val="tx1"/>
            </w14:solidFill>
          </w14:textFill>
        </w:rPr>
        <w:t>承包人</w:t>
      </w:r>
      <w:r>
        <w:rPr>
          <w:rFonts w:ascii="华文楷体" w:hAnsi="华文楷体" w:eastAsia="华文楷体"/>
          <w:color w:val="000000" w:themeColor="text1"/>
          <w:highlight w:val="none"/>
          <w14:textFill>
            <w14:solidFill>
              <w14:schemeClr w14:val="tx1"/>
            </w14:solidFill>
          </w14:textFill>
        </w:rPr>
        <w:t>应</w:t>
      </w:r>
      <w:r>
        <w:rPr>
          <w:rFonts w:hint="eastAsia" w:ascii="华文楷体" w:hAnsi="华文楷体" w:eastAsia="华文楷体"/>
          <w:color w:val="000000" w:themeColor="text1"/>
          <w:highlight w:val="none"/>
          <w14:textFill>
            <w14:solidFill>
              <w14:schemeClr w14:val="tx1"/>
            </w14:solidFill>
          </w14:textFill>
        </w:rPr>
        <w:t>提供相应的</w:t>
      </w:r>
      <w:r>
        <w:rPr>
          <w:rFonts w:ascii="华文楷体" w:hAnsi="华文楷体" w:eastAsia="华文楷体"/>
          <w:color w:val="000000" w:themeColor="text1"/>
          <w:highlight w:val="none"/>
          <w14:textFill>
            <w14:solidFill>
              <w14:schemeClr w14:val="tx1"/>
            </w14:solidFill>
          </w14:textFill>
        </w:rPr>
        <w:t>数据接口，实现系统间数据</w:t>
      </w:r>
      <w:r>
        <w:rPr>
          <w:rFonts w:hint="eastAsia" w:ascii="华文楷体" w:hAnsi="华文楷体" w:eastAsia="华文楷体"/>
          <w:color w:val="000000" w:themeColor="text1"/>
          <w:highlight w:val="none"/>
          <w14:textFill>
            <w14:solidFill>
              <w14:schemeClr w14:val="tx1"/>
            </w14:solidFill>
          </w14:textFill>
        </w:rPr>
        <w:t>导入、导出和</w:t>
      </w:r>
      <w:r>
        <w:rPr>
          <w:rFonts w:ascii="华文楷体" w:hAnsi="华文楷体" w:eastAsia="华文楷体"/>
          <w:color w:val="000000" w:themeColor="text1"/>
          <w:highlight w:val="none"/>
          <w14:textFill>
            <w14:solidFill>
              <w14:schemeClr w14:val="tx1"/>
            </w14:solidFill>
          </w14:textFill>
        </w:rPr>
        <w:t>共享。</w:t>
      </w:r>
    </w:p>
    <w:p>
      <w:pPr>
        <w:pStyle w:val="107"/>
        <w:numPr>
          <w:ilvl w:val="0"/>
          <w:numId w:val="19"/>
        </w:numPr>
        <w:spacing w:line="360" w:lineRule="auto"/>
        <w:ind w:left="408" w:hanging="408" w:hangingChars="170"/>
        <w:rPr>
          <w:rFonts w:ascii="华文楷体" w:hAnsi="华文楷体" w:eastAsia="华文楷体"/>
          <w:b/>
          <w:color w:val="000000" w:themeColor="text1"/>
          <w:sz w:val="24"/>
          <w:szCs w:val="24"/>
          <w:highlight w:val="none"/>
          <w14:textFill>
            <w14:solidFill>
              <w14:schemeClr w14:val="tx1"/>
            </w14:solidFill>
          </w14:textFill>
        </w:rPr>
      </w:pPr>
      <w:r>
        <w:rPr>
          <w:rFonts w:hint="eastAsia" w:ascii="华文楷体" w:hAnsi="华文楷体" w:eastAsia="华文楷体"/>
          <w:b/>
          <w:color w:val="000000" w:themeColor="text1"/>
          <w:sz w:val="24"/>
          <w:szCs w:val="24"/>
          <w:highlight w:val="none"/>
          <w14:textFill>
            <w14:solidFill>
              <w14:schemeClr w14:val="tx1"/>
            </w14:solidFill>
          </w14:textFill>
        </w:rPr>
        <w:t>系统运行环境</w:t>
      </w:r>
    </w:p>
    <w:p>
      <w:pPr>
        <w:spacing w:line="360" w:lineRule="auto"/>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sz w:val="24"/>
          <w:szCs w:val="24"/>
          <w:highlight w:val="none"/>
          <w14:textFill>
            <w14:solidFill>
              <w14:schemeClr w14:val="tx1"/>
            </w14:solidFill>
          </w14:textFill>
        </w:rPr>
        <w:t>3</w:t>
      </w:r>
      <w:r>
        <w:rPr>
          <w:rFonts w:ascii="华文楷体" w:hAnsi="华文楷体" w:eastAsia="华文楷体"/>
          <w:color w:val="000000" w:themeColor="text1"/>
          <w:sz w:val="24"/>
          <w:szCs w:val="24"/>
          <w:highlight w:val="none"/>
          <w14:textFill>
            <w14:solidFill>
              <w14:schemeClr w14:val="tx1"/>
            </w14:solidFill>
          </w14:textFill>
        </w:rPr>
        <w:t>.1</w:t>
      </w:r>
      <w:r>
        <w:rPr>
          <w:rFonts w:hint="eastAsia" w:ascii="华文楷体" w:hAnsi="华文楷体" w:eastAsia="华文楷体"/>
          <w:color w:val="000000" w:themeColor="text1"/>
          <w:sz w:val="24"/>
          <w:szCs w:val="24"/>
          <w:highlight w:val="none"/>
          <w14:textFill>
            <w14:solidFill>
              <w14:schemeClr w14:val="tx1"/>
            </w14:solidFill>
          </w14:textFill>
        </w:rPr>
        <w:t>智慧工地通信网络</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ascii="华文楷体" w:hAnsi="华文楷体" w:eastAsia="华文楷体"/>
          <w:color w:val="000000" w:themeColor="text1"/>
          <w:highlight w:val="none"/>
          <w14:textFill>
            <w14:solidFill>
              <w14:schemeClr w14:val="tx1"/>
            </w14:solidFill>
          </w14:textFill>
        </w:rPr>
        <w:t>为了给工程日常运行、维护提供便利</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要求在每个工区设置统一的语音通信系统。设置程控交换机</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满足容量要求</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其中主控、电源板等关键板件实现双</w:t>
      </w:r>
      <w:r>
        <w:rPr>
          <w:rFonts w:hint="eastAsia" w:ascii="华文楷体" w:hAnsi="华文楷体" w:eastAsia="华文楷体"/>
          <w:color w:val="000000" w:themeColor="text1"/>
          <w:highlight w:val="none"/>
          <w14:textFill>
            <w14:solidFill>
              <w14:schemeClr w14:val="tx1"/>
            </w14:solidFill>
          </w14:textFill>
        </w:rPr>
        <w:t>冗</w:t>
      </w:r>
      <w:r>
        <w:rPr>
          <w:rFonts w:ascii="华文楷体" w:hAnsi="华文楷体" w:eastAsia="华文楷体"/>
          <w:color w:val="000000" w:themeColor="text1"/>
          <w:highlight w:val="none"/>
          <w14:textFill>
            <w14:solidFill>
              <w14:schemeClr w14:val="tx1"/>
            </w14:solidFill>
          </w14:textFill>
        </w:rPr>
        <w:t>余。程控交换机的电路板与市话系统进行互联互通。</w:t>
      </w:r>
    </w:p>
    <w:p>
      <w:pPr>
        <w:spacing w:line="360" w:lineRule="auto"/>
        <w:ind w:firstLine="420" w:firstLineChars="200"/>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各工区设置满足使用需要数量的模拟话机。模拟话机通过语音接入网关接入</w:t>
      </w:r>
      <w:r>
        <w:rPr>
          <w:rFonts w:hint="eastAsia" w:ascii="华文楷体" w:hAnsi="华文楷体" w:eastAsia="华文楷体"/>
          <w:color w:val="000000" w:themeColor="text1"/>
          <w:highlight w:val="none"/>
          <w14:textFill>
            <w14:solidFill>
              <w14:schemeClr w14:val="tx1"/>
            </w14:solidFill>
          </w14:textFill>
        </w:rPr>
        <w:t>。</w:t>
      </w:r>
    </w:p>
    <w:p>
      <w:pPr>
        <w:spacing w:line="360" w:lineRule="auto"/>
        <w:ind w:firstLine="420" w:firstLineChars="200"/>
        <w:rPr>
          <w:rFonts w:ascii="华文楷体" w:hAnsi="华文楷体" w:eastAsia="华文楷体"/>
          <w:color w:val="000000" w:themeColor="text1"/>
          <w:sz w:val="24"/>
          <w:szCs w:val="24"/>
          <w:highlight w:val="none"/>
          <w14:textFill>
            <w14:solidFill>
              <w14:schemeClr w14:val="tx1"/>
            </w14:solidFill>
          </w14:textFill>
        </w:rPr>
      </w:pPr>
      <w:r>
        <w:rPr>
          <w:rFonts w:hint="eastAsia" w:ascii="华文楷体" w:hAnsi="华文楷体" w:eastAsia="华文楷体"/>
          <w:color w:val="000000" w:themeColor="text1"/>
          <w:highlight w:val="none"/>
          <w14:textFill>
            <w14:solidFill>
              <w14:schemeClr w14:val="tx1"/>
            </w14:solidFill>
          </w14:textFill>
        </w:rPr>
        <w:t xml:space="preserve"> </w:t>
      </w:r>
      <w:r>
        <w:rPr>
          <w:rFonts w:ascii="华文楷体" w:hAnsi="华文楷体" w:eastAsia="华文楷体"/>
          <w:color w:val="000000" w:themeColor="text1"/>
          <w:highlight w:val="none"/>
          <w14:textFill>
            <w14:solidFill>
              <w14:schemeClr w14:val="tx1"/>
            </w14:solidFill>
          </w14:textFill>
        </w:rPr>
        <w:t xml:space="preserve">   语音通信系统的程控交换机与当地网络运营商网络连接</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开通国内、国际长途及其他通信业务</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以满足工地对外通信需要。</w:t>
      </w:r>
    </w:p>
    <w:p>
      <w:pPr>
        <w:spacing w:line="360" w:lineRule="auto"/>
        <w:rPr>
          <w:rFonts w:ascii="华文楷体" w:hAnsi="华文楷体" w:eastAsia="华文楷体"/>
          <w:color w:val="000000" w:themeColor="text1"/>
          <w:highlight w:val="none"/>
          <w14:textFill>
            <w14:solidFill>
              <w14:schemeClr w14:val="tx1"/>
            </w14:solidFill>
          </w14:textFill>
        </w:rPr>
      </w:pPr>
      <w:r>
        <w:rPr>
          <w:rFonts w:hint="eastAsia" w:ascii="华文楷体" w:hAnsi="华文楷体" w:eastAsia="华文楷体"/>
          <w:color w:val="000000" w:themeColor="text1"/>
          <w:sz w:val="24"/>
          <w:szCs w:val="24"/>
          <w:highlight w:val="none"/>
          <w14:textFill>
            <w14:solidFill>
              <w14:schemeClr w14:val="tx1"/>
            </w14:solidFill>
          </w14:textFill>
        </w:rPr>
        <w:t>3</w:t>
      </w:r>
      <w:r>
        <w:rPr>
          <w:rFonts w:ascii="华文楷体" w:hAnsi="华文楷体" w:eastAsia="华文楷体"/>
          <w:color w:val="000000" w:themeColor="text1"/>
          <w:sz w:val="24"/>
          <w:szCs w:val="24"/>
          <w:highlight w:val="none"/>
          <w14:textFill>
            <w14:solidFill>
              <w14:schemeClr w14:val="tx1"/>
            </w14:solidFill>
          </w14:textFill>
        </w:rPr>
        <w:t>.2</w:t>
      </w:r>
      <w:r>
        <w:rPr>
          <w:rFonts w:hint="eastAsia" w:ascii="华文楷体" w:hAnsi="华文楷体" w:eastAsia="华文楷体"/>
          <w:color w:val="000000" w:themeColor="text1"/>
          <w:sz w:val="24"/>
          <w:szCs w:val="24"/>
          <w:highlight w:val="none"/>
          <w14:textFill>
            <w14:solidFill>
              <w14:schemeClr w14:val="tx1"/>
            </w14:solidFill>
          </w14:textFill>
        </w:rPr>
        <w:t>智慧工地办公网络</w:t>
      </w:r>
    </w:p>
    <w:p>
      <w:pPr>
        <w:rPr>
          <w:color w:val="000000" w:themeColor="text1"/>
          <w:highlight w:val="none"/>
          <w14:textFill>
            <w14:solidFill>
              <w14:schemeClr w14:val="tx1"/>
            </w14:solidFill>
          </w14:textFill>
        </w:rPr>
      </w:pPr>
      <w:bookmarkStart w:id="949" w:name="_Toc40186535"/>
      <w:r>
        <w:rPr>
          <w:rFonts w:ascii="华文楷体" w:hAnsi="华文楷体" w:eastAsia="华文楷体"/>
          <w:color w:val="000000" w:themeColor="text1"/>
          <w:highlight w:val="none"/>
          <w14:textFill>
            <w14:solidFill>
              <w14:schemeClr w14:val="tx1"/>
            </w14:solidFill>
          </w14:textFill>
        </w:rPr>
        <w:t>承包人智慧工地办公网络需增强网络设备及链路的可靠性</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实现安全、高速、可靠的数据、语音、图像等多业务通信。建议配置接入交换机</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以及无线AP设备</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为工区办公场所、施工现场提供有线、无线网络环境。通过路由器接入互联网</w:t>
      </w:r>
      <w:r>
        <w:rPr>
          <w:rFonts w:hint="eastAsia" w:ascii="华文楷体" w:hAnsi="华文楷体" w:eastAsia="华文楷体"/>
          <w:color w:val="000000" w:themeColor="text1"/>
          <w:highlight w:val="none"/>
          <w14:textFill>
            <w14:solidFill>
              <w14:schemeClr w14:val="tx1"/>
            </w14:solidFill>
          </w14:textFill>
        </w:rPr>
        <w:t>，</w:t>
      </w:r>
      <w:r>
        <w:rPr>
          <w:rFonts w:ascii="华文楷体" w:hAnsi="华文楷体" w:eastAsia="华文楷体"/>
          <w:color w:val="000000" w:themeColor="text1"/>
          <w:highlight w:val="none"/>
          <w14:textFill>
            <w14:solidFill>
              <w14:schemeClr w14:val="tx1"/>
            </w14:solidFill>
          </w14:textFill>
        </w:rPr>
        <w:t>采用防火墙设备加强内网安全。</w:t>
      </w:r>
      <w:bookmarkEnd w:id="949"/>
    </w:p>
    <w:p>
      <w:pPr>
        <w:spacing w:line="360" w:lineRule="auto"/>
        <w:jc w:val="center"/>
        <w:rPr>
          <w:rFonts w:ascii="华文楷体" w:hAnsi="华文楷体" w:eastAsia="华文楷体"/>
          <w:b/>
          <w:color w:val="000000" w:themeColor="text1"/>
          <w:sz w:val="24"/>
          <w:szCs w:val="24"/>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widowControl/>
        <w:jc w:val="left"/>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p>
    <w:p>
      <w:pPr>
        <w:rPr>
          <w:color w:val="000000" w:themeColor="text1"/>
          <w:highlight w:val="none"/>
          <w14:textFill>
            <w14:solidFill>
              <w14:schemeClr w14:val="tx1"/>
            </w14:solidFill>
          </w14:textFill>
        </w:rPr>
      </w:pPr>
    </w:p>
    <w:p>
      <w:pPr>
        <w:pStyle w:val="2"/>
        <w:rPr>
          <w:rFonts w:ascii="仿宋_GB2312" w:eastAsia="仿宋_GB2312"/>
          <w:color w:val="000000" w:themeColor="text1"/>
          <w:sz w:val="30"/>
          <w:szCs w:val="30"/>
          <w:highlight w:val="none"/>
          <w14:textFill>
            <w14:solidFill>
              <w14:schemeClr w14:val="tx1"/>
            </w14:solidFill>
          </w14:textFill>
        </w:rPr>
      </w:pPr>
      <w:bookmarkStart w:id="950" w:name="_Toc118446918"/>
      <w:bookmarkStart w:id="951" w:name="_Toc7460"/>
      <w:r>
        <w:rPr>
          <w:rFonts w:hint="eastAsia"/>
          <w:color w:val="000000" w:themeColor="text1"/>
          <w:sz w:val="30"/>
          <w:szCs w:val="30"/>
          <w:highlight w:val="none"/>
          <w14:textFill>
            <w14:solidFill>
              <w14:schemeClr w14:val="tx1"/>
            </w14:solidFill>
          </w14:textFill>
        </w:rPr>
        <w:t>附件11绿色施工安全防护措施标准化图册</w:t>
      </w:r>
      <w:bookmarkEnd w:id="941"/>
      <w:bookmarkEnd w:id="942"/>
      <w:bookmarkEnd w:id="943"/>
      <w:bookmarkEnd w:id="944"/>
      <w:bookmarkEnd w:id="950"/>
      <w:bookmarkEnd w:id="951"/>
    </w:p>
    <w:p>
      <w:pPr>
        <w:spacing w:line="360" w:lineRule="auto"/>
        <w:ind w:right="-1"/>
        <w:jc w:val="center"/>
        <w:rPr>
          <w:rFonts w:ascii="华文中宋" w:hAnsi="华文中宋" w:eastAsia="华文中宋"/>
          <w:b/>
          <w:color w:val="000000" w:themeColor="text1"/>
          <w:sz w:val="52"/>
          <w:szCs w:val="52"/>
          <w:highlight w:val="none"/>
          <w14:textFill>
            <w14:solidFill>
              <w14:schemeClr w14:val="tx1"/>
            </w14:solidFill>
          </w14:textFill>
        </w:rPr>
      </w:pPr>
    </w:p>
    <w:p>
      <w:pPr>
        <w:spacing w:line="360" w:lineRule="auto"/>
        <w:jc w:val="center"/>
        <w:rPr>
          <w:b/>
          <w:color w:val="000000" w:themeColor="text1"/>
          <w:sz w:val="72"/>
          <w:szCs w:val="72"/>
          <w:highlight w:val="none"/>
          <w14:textFill>
            <w14:solidFill>
              <w14:schemeClr w14:val="tx1"/>
            </w14:solidFill>
          </w14:textFill>
        </w:rPr>
      </w:pPr>
      <w:r>
        <w:rPr>
          <w:rFonts w:hint="eastAsia" w:ascii="华文中宋" w:hAnsi="华文中宋" w:eastAsia="华文中宋"/>
          <w:b/>
          <w:color w:val="000000" w:themeColor="text1"/>
          <w:sz w:val="52"/>
          <w:szCs w:val="52"/>
          <w:highlight w:val="none"/>
          <w14:textFill>
            <w14:solidFill>
              <w14:schemeClr w14:val="tx1"/>
            </w14:solidFill>
          </w14:textFill>
        </w:rPr>
        <w:t>绿色施工安全防护措施标准化图册</w:t>
      </w: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jc w:val="center"/>
        <w:rPr>
          <w:b/>
          <w:color w:val="000000" w:themeColor="text1"/>
          <w:sz w:val="32"/>
          <w:szCs w:val="32"/>
          <w:highlight w:val="none"/>
          <w14:textFill>
            <w14:solidFill>
              <w14:schemeClr w14:val="tx1"/>
            </w14:solidFill>
          </w14:textFill>
        </w:rPr>
      </w:pPr>
    </w:p>
    <w:p>
      <w:pPr>
        <w:spacing w:line="360" w:lineRule="auto"/>
        <w:ind w:right="-178" w:rightChars="-85"/>
        <w:rPr>
          <w:rFonts w:ascii="华文中宋" w:hAnsi="华文中宋" w:eastAsia="华文中宋"/>
          <w:b/>
          <w:color w:val="000000" w:themeColor="text1"/>
          <w:sz w:val="32"/>
          <w:szCs w:val="32"/>
          <w:highlight w:val="none"/>
          <w14:textFill>
            <w14:solidFill>
              <w14:schemeClr w14:val="tx1"/>
            </w14:solidFill>
          </w14:textFill>
        </w:rPr>
      </w:pPr>
    </w:p>
    <w:p>
      <w:pPr>
        <w:spacing w:line="360" w:lineRule="auto"/>
        <w:ind w:right="-178" w:rightChars="-85"/>
        <w:rPr>
          <w:rFonts w:ascii="华文中宋" w:hAnsi="华文中宋" w:eastAsia="华文中宋"/>
          <w:b/>
          <w:color w:val="000000" w:themeColor="text1"/>
          <w:sz w:val="32"/>
          <w:szCs w:val="32"/>
          <w:highlight w:val="none"/>
          <w14:textFill>
            <w14:solidFill>
              <w14:schemeClr w14:val="tx1"/>
            </w14:solidFill>
          </w14:textFill>
        </w:rPr>
      </w:pPr>
    </w:p>
    <w:p>
      <w:pPr>
        <w:spacing w:line="360" w:lineRule="auto"/>
        <w:ind w:right="-178" w:rightChars="-85"/>
        <w:rPr>
          <w:rFonts w:ascii="华文中宋" w:hAnsi="华文中宋" w:eastAsia="华文中宋"/>
          <w:b/>
          <w:color w:val="000000" w:themeColor="text1"/>
          <w:sz w:val="32"/>
          <w:szCs w:val="32"/>
          <w:highlight w:val="none"/>
          <w14:textFill>
            <w14:solidFill>
              <w14:schemeClr w14:val="tx1"/>
            </w14:solidFill>
          </w14:textFill>
        </w:rPr>
      </w:pPr>
    </w:p>
    <w:p>
      <w:pPr>
        <w:spacing w:line="360" w:lineRule="auto"/>
        <w:ind w:right="-178" w:rightChars="-85" w:firstLine="641"/>
        <w:jc w:val="center"/>
        <w:rPr>
          <w:rFonts w:ascii="华文中宋" w:hAnsi="华文中宋" w:eastAsia="华文中宋"/>
          <w:b/>
          <w:color w:val="000000" w:themeColor="text1"/>
          <w:sz w:val="32"/>
          <w:szCs w:val="32"/>
          <w:highlight w:val="none"/>
          <w14:textFill>
            <w14:solidFill>
              <w14:schemeClr w14:val="tx1"/>
            </w14:solidFill>
          </w14:textFill>
        </w:rPr>
      </w:pPr>
      <w:r>
        <w:rPr>
          <w:rFonts w:hint="eastAsia" w:ascii="华文中宋" w:hAnsi="华文中宋" w:eastAsia="华文中宋"/>
          <w:b/>
          <w:color w:val="000000" w:themeColor="text1"/>
          <w:sz w:val="32"/>
          <w:szCs w:val="32"/>
          <w:highlight w:val="none"/>
          <w14:textFill>
            <w14:solidFill>
              <w14:schemeClr w14:val="tx1"/>
            </w14:solidFill>
          </w14:textFill>
        </w:rPr>
        <w:t xml:space="preserve"> 2020.3</w:t>
      </w:r>
    </w:p>
    <w:p>
      <w:pPr>
        <w:spacing w:line="360" w:lineRule="auto"/>
        <w:jc w:val="center"/>
        <w:rPr>
          <w:b/>
          <w:color w:val="000000" w:themeColor="text1"/>
          <w:sz w:val="28"/>
          <w:szCs w:val="28"/>
          <w:highlight w:val="none"/>
          <w14:textFill>
            <w14:solidFill>
              <w14:schemeClr w14:val="tx1"/>
            </w14:solidFill>
          </w14:textFill>
        </w:rPr>
      </w:pPr>
    </w:p>
    <w:p>
      <w:pPr>
        <w:spacing w:line="360" w:lineRule="auto"/>
        <w:jc w:val="center"/>
        <w:rPr>
          <w:b/>
          <w:color w:val="000000" w:themeColor="text1"/>
          <w:szCs w:val="21"/>
          <w:highlight w:val="none"/>
          <w14:textFill>
            <w14:solidFill>
              <w14:schemeClr w14:val="tx1"/>
            </w14:solidFill>
          </w14:textFill>
        </w:rPr>
      </w:pPr>
    </w:p>
    <w:p>
      <w:pPr>
        <w:spacing w:before="240" w:beforeLines="100" w:after="240" w:afterLines="100" w:line="360" w:lineRule="auto"/>
        <w:jc w:val="center"/>
        <w:rPr>
          <w:b/>
          <w:color w:val="000000" w:themeColor="text1"/>
          <w:sz w:val="44"/>
          <w:szCs w:val="44"/>
          <w:highlight w:val="none"/>
          <w14:textFill>
            <w14:solidFill>
              <w14:schemeClr w14:val="tx1"/>
            </w14:solidFill>
          </w14:textFill>
        </w:rPr>
        <w:sectPr>
          <w:pgSz w:w="11906" w:h="16838"/>
          <w:pgMar w:top="1134" w:right="1134" w:bottom="1134" w:left="1134" w:header="680" w:footer="992" w:gutter="0"/>
          <w:cols w:space="720" w:num="1"/>
          <w:titlePg/>
          <w:docGrid w:linePitch="312" w:charSpace="0"/>
        </w:sectPr>
      </w:pPr>
    </w:p>
    <w:p>
      <w:pPr>
        <w:spacing w:line="360" w:lineRule="auto"/>
        <w:jc w:val="center"/>
        <w:rPr>
          <w:rFonts w:ascii="黑体" w:hAnsi="黑体" w:eastAsia="黑体"/>
          <w:b/>
          <w:color w:val="000000" w:themeColor="text1"/>
          <w:sz w:val="36"/>
          <w:szCs w:val="36"/>
          <w:highlight w:val="none"/>
          <w14:textFill>
            <w14:solidFill>
              <w14:schemeClr w14:val="tx1"/>
            </w14:solidFill>
          </w14:textFill>
        </w:rPr>
      </w:pPr>
      <w:r>
        <w:rPr>
          <w:rFonts w:hint="eastAsia" w:ascii="黑体" w:hAnsi="黑体" w:eastAsia="黑体"/>
          <w:b/>
          <w:color w:val="000000" w:themeColor="text1"/>
          <w:sz w:val="36"/>
          <w:szCs w:val="36"/>
          <w:highlight w:val="none"/>
          <w14:textFill>
            <w14:solidFill>
              <w14:schemeClr w14:val="tx1"/>
            </w14:solidFill>
          </w14:textFill>
        </w:rPr>
        <w:t>绿色施工安全防护措施标准化图册</w:t>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952" w:name="_Toc8629"/>
      <w:bookmarkStart w:id="953" w:name="_Toc1052"/>
      <w:bookmarkStart w:id="954" w:name="_Toc44492634"/>
      <w:r>
        <w:rPr>
          <w:rFonts w:hint="eastAsia"/>
          <w:color w:val="000000" w:themeColor="text1"/>
          <w:sz w:val="28"/>
          <w:szCs w:val="24"/>
          <w:highlight w:val="none"/>
          <w14:textFill>
            <w14:solidFill>
              <w14:schemeClr w14:val="tx1"/>
            </w14:solidFill>
          </w14:textFill>
        </w:rPr>
        <w:t>一、个人劳动防护</w:t>
      </w:r>
      <w:bookmarkEnd w:id="952"/>
      <w:bookmarkEnd w:id="953"/>
      <w:bookmarkEnd w:id="954"/>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各单位必须为员工、作业人员配备必要的劳动防护用品，并督促相关人员在作业时正确使用。各单位应建立健全劳动防护用品的采购、验收、保管、发放、使用、更换、报废等管理制度。劳动防护用品应符合国家标准或行业标准，包括但不限于以下内容。</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55" w:name="_Toc15443"/>
      <w:bookmarkStart w:id="956" w:name="_Toc25188"/>
      <w:bookmarkStart w:id="957" w:name="_Toc44492635"/>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 xml:space="preserve">.1 </w:t>
      </w:r>
      <w:r>
        <w:rPr>
          <w:rFonts w:hint="eastAsia"/>
          <w:color w:val="000000" w:themeColor="text1"/>
          <w:sz w:val="24"/>
          <w:szCs w:val="24"/>
          <w:highlight w:val="none"/>
          <w14:textFill>
            <w14:solidFill>
              <w14:schemeClr w14:val="tx1"/>
            </w14:solidFill>
          </w14:textFill>
        </w:rPr>
        <w:t>安全帽</w:t>
      </w:r>
      <w:bookmarkEnd w:id="955"/>
      <w:bookmarkEnd w:id="956"/>
      <w:bookmarkEnd w:id="957"/>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进入施工现场必须戴安全帽，安全帽应符合国家最新标准《安全帽》GB2811-2007，应正确佩戴安全帽，扣好帽带，不准使用缺衬、无带及破损的安全帽。主入口门卫处应备有来访嘉宾用安全帽，为提高卫生性，应配备一次性帽套，并在门卫处准备贵宾证，配合门禁刷卡机使用，供接待上级领导来访参观、观摩、检查等场合使用。</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1404620" cy="1653540"/>
            <wp:effectExtent l="0" t="0" r="0" b="0"/>
            <wp:docPr id="1" name="图片 1" descr="7a2e4b3c2366cbd943f5f10d58eeba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7a2e4b3c2366cbd943f5f10d58eeba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1404620" cy="1653540"/>
                    </a:xfrm>
                    <a:prstGeom prst="rect">
                      <a:avLst/>
                    </a:prstGeom>
                    <a:noFill/>
                    <a:ln>
                      <a:noFill/>
                    </a:ln>
                  </pic:spPr>
                </pic:pic>
              </a:graphicData>
            </a:graphic>
          </wp:inline>
        </w:drawing>
      </w:r>
      <w:r>
        <w:rPr>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1272540" cy="1660525"/>
            <wp:effectExtent l="0" t="0" r="0" b="0"/>
            <wp:docPr id="2" name="图片 2" descr="006f4530cac6bc5dec4d56fef4e9e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06f4530cac6bc5dec4d56fef4e9edc"/>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1272540" cy="1660525"/>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1192530" cy="1660525"/>
            <wp:effectExtent l="0" t="0" r="0" b="0"/>
            <wp:docPr id="3" name="图片 3" descr="fd252853948a2a558c90ba6156879f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d252853948a2a558c90ba6156879f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1192530" cy="166052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58" w:name="_Toc1471"/>
      <w:bookmarkStart w:id="959" w:name="_Toc29218"/>
      <w:bookmarkStart w:id="960" w:name="_Toc44492636"/>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2</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安全鞋</w:t>
      </w:r>
      <w:bookmarkEnd w:id="958"/>
      <w:bookmarkEnd w:id="959"/>
      <w:bookmarkEnd w:id="960"/>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进入施工现场应穿安全鞋，特别是一线作业人员以及有扎脚风险的作业场所。安全鞋必须符合《个体防护装备 安全鞋》</w:t>
      </w:r>
      <w:r>
        <w:rPr>
          <w:color w:val="000000" w:themeColor="text1"/>
          <w:sz w:val="24"/>
          <w:szCs w:val="21"/>
          <w:highlight w:val="none"/>
          <w14:textFill>
            <w14:solidFill>
              <w14:schemeClr w14:val="tx1"/>
            </w14:solidFill>
          </w14:textFill>
        </w:rPr>
        <w:t>GB21148</w:t>
      </w:r>
      <w:r>
        <w:rPr>
          <w:rFonts w:hint="eastAsia"/>
          <w:color w:val="000000" w:themeColor="text1"/>
          <w:sz w:val="24"/>
          <w:szCs w:val="21"/>
          <w:highlight w:val="none"/>
          <w14:textFill>
            <w14:solidFill>
              <w14:schemeClr w14:val="tx1"/>
            </w14:solidFill>
          </w14:textFill>
        </w:rPr>
        <w:t>-2007相关要求，具备防穿刺、防砸功能。</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61" w:name="_Toc26359"/>
      <w:bookmarkStart w:id="962" w:name="_Toc13426"/>
      <w:bookmarkStart w:id="963" w:name="_Toc44492637"/>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3</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安全带</w:t>
      </w:r>
      <w:bookmarkEnd w:id="961"/>
      <w:bookmarkEnd w:id="962"/>
      <w:bookmarkEnd w:id="963"/>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安全带必须符合《安全带》GB 6095-2009的技术和检验要求。进场必须提供生产日期、生产许可证、产品合格证、检验证。安全带应确保在有效期内使用，应建立管理台账并定期检查、试验，发现异常需提前报废。安全带上的各种部件不得随意拆除、接长使用。</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64" w:name="_Toc9240"/>
      <w:bookmarkStart w:id="965" w:name="_Toc4039"/>
      <w:bookmarkStart w:id="966" w:name="_Toc44492638"/>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4</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反光背心</w:t>
      </w:r>
      <w:bookmarkEnd w:id="964"/>
      <w:bookmarkEnd w:id="965"/>
      <w:bookmarkEnd w:id="966"/>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各项目公司应为上级来访嘉宾配备好反光背心，反光背心前胸、后背位置有所属公司名称及企业标志，具体见下图。各参建单位应为现场管理人员与作业人员配备反光背心，有条件的可配备带反光条的劳保服（提高夜间作业的安全性）。各参建单位作业人员反光背心颜色应统一，并在反光背心前胸、后背位置有所属公司名称及企业标志。</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3679825" cy="2516505"/>
            <wp:effectExtent l="0" t="0" r="0" b="0"/>
            <wp:docPr id="4" name="图片 4" descr="taobaoWWang - 副本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taobaoWWang - 副本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3679825" cy="2516505"/>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67" w:name="_Toc20439"/>
      <w:bookmarkStart w:id="968" w:name="_Toc24856"/>
      <w:bookmarkStart w:id="969" w:name="_Toc44492639"/>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5 个人</w:t>
      </w:r>
      <w:r>
        <w:rPr>
          <w:rFonts w:hint="eastAsia"/>
          <w:color w:val="000000" w:themeColor="text1"/>
          <w:sz w:val="24"/>
          <w:szCs w:val="21"/>
          <w:highlight w:val="none"/>
          <w14:textFill>
            <w14:solidFill>
              <w14:schemeClr w14:val="tx1"/>
            </w14:solidFill>
          </w14:textFill>
        </w:rPr>
        <w:t>劳动防护用品警示镜</w:t>
      </w:r>
      <w:bookmarkEnd w:id="967"/>
      <w:bookmarkEnd w:id="968"/>
      <w:bookmarkEnd w:id="969"/>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在施工人员主入口明显处设置个人劳动防护用品警示镜（立柱为直径100空心不锈钢管，立杆与图牌间距100，离地总高度2.4米，如下图）。原则上大小尺寸按此标准制作，材质各项目可结合实际情况做适应性修改，不可低于此标准。</w:t>
      </w:r>
    </w:p>
    <w:p>
      <w:pPr>
        <w:adjustRightInd w:val="0"/>
        <w:snapToGrid w:val="0"/>
        <w:jc w:val="center"/>
        <w:rPr>
          <w:rFonts w:ascii="仿宋_GB2312" w:eastAsia="仿宋_GB2312"/>
          <w:color w:val="000000" w:themeColor="text1"/>
          <w:sz w:val="32"/>
          <w:szCs w:val="32"/>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0" distR="0">
            <wp:extent cx="1909445" cy="256032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1909445" cy="2560320"/>
                    </a:xfrm>
                    <a:prstGeom prst="rect">
                      <a:avLst/>
                    </a:prstGeom>
                    <a:noFill/>
                    <a:ln>
                      <a:noFill/>
                    </a:ln>
                  </pic:spPr>
                </pic:pic>
              </a:graphicData>
            </a:graphic>
          </wp:inline>
        </w:drawing>
      </w:r>
      <w:r>
        <w:rPr>
          <w:rFonts w:hint="eastAsia" w:ascii="仿宋_GB2312" w:eastAsia="仿宋_GB2312"/>
          <w:color w:val="000000" w:themeColor="text1"/>
          <w:sz w:val="32"/>
          <w:szCs w:val="32"/>
          <w:highlight w:val="none"/>
          <w14:textFill>
            <w14:solidFill>
              <w14:schemeClr w14:val="tx1"/>
            </w14:solidFill>
          </w14:textFill>
        </w:rPr>
        <w:t xml:space="preserve">      </w:t>
      </w:r>
      <w:r>
        <w:rPr>
          <w:rFonts w:ascii="仿宋_GB2312" w:eastAsia="仿宋_GB2312"/>
          <w:color w:val="000000" w:themeColor="text1"/>
          <w:sz w:val="32"/>
          <w:szCs w:val="32"/>
          <w:highlight w:val="none"/>
          <w14:textFill>
            <w14:solidFill>
              <w14:schemeClr w14:val="tx1"/>
            </w14:solidFill>
          </w14:textFill>
        </w:rPr>
        <w:drawing>
          <wp:inline distT="0" distB="0" distL="0" distR="0">
            <wp:extent cx="2194560" cy="2538095"/>
            <wp:effectExtent l="0" t="0" r="0" b="0"/>
            <wp:docPr id="6" name="图片 6" descr="C:\Users\王虎\AppData\Local\Temp\1497321567(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王虎\AppData\Local\Temp\1497321567(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194560" cy="2538095"/>
                    </a:xfrm>
                    <a:prstGeom prst="rect">
                      <a:avLst/>
                    </a:prstGeom>
                    <a:noFill/>
                    <a:ln>
                      <a:noFill/>
                    </a:ln>
                  </pic:spPr>
                </pic:pic>
              </a:graphicData>
            </a:graphic>
          </wp:inline>
        </w:drawing>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970" w:name="_Toc13909"/>
      <w:bookmarkStart w:id="971" w:name="_Toc16695"/>
      <w:bookmarkStart w:id="972" w:name="_Toc44492640"/>
      <w:r>
        <w:rPr>
          <w:rFonts w:hint="eastAsia"/>
          <w:color w:val="000000" w:themeColor="text1"/>
          <w:sz w:val="28"/>
          <w:szCs w:val="24"/>
          <w:highlight w:val="none"/>
          <w14:textFill>
            <w14:solidFill>
              <w14:schemeClr w14:val="tx1"/>
            </w14:solidFill>
          </w14:textFill>
        </w:rPr>
        <w:t>二、作业安全防护</w:t>
      </w:r>
      <w:bookmarkEnd w:id="970"/>
      <w:bookmarkEnd w:id="971"/>
      <w:bookmarkEnd w:id="972"/>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73" w:name="_Toc5570"/>
      <w:bookmarkStart w:id="974" w:name="_Toc44492641"/>
      <w:bookmarkStart w:id="975" w:name="_Toc8500"/>
      <w:r>
        <w:rPr>
          <w:color w:val="000000" w:themeColor="text1"/>
          <w:sz w:val="24"/>
          <w:szCs w:val="24"/>
          <w:highlight w:val="none"/>
          <w14:textFill>
            <w14:solidFill>
              <w14:schemeClr w14:val="tx1"/>
            </w14:solidFill>
          </w14:textFill>
        </w:rPr>
        <w:t xml:space="preserve">2.1 </w:t>
      </w:r>
      <w:r>
        <w:rPr>
          <w:rFonts w:hint="eastAsia"/>
          <w:color w:val="000000" w:themeColor="text1"/>
          <w:sz w:val="24"/>
          <w:szCs w:val="24"/>
          <w:highlight w:val="none"/>
          <w14:textFill>
            <w14:solidFill>
              <w14:schemeClr w14:val="tx1"/>
            </w14:solidFill>
          </w14:textFill>
        </w:rPr>
        <w:t>定型化防护栏</w:t>
      </w:r>
      <w:bookmarkEnd w:id="973"/>
      <w:bookmarkEnd w:id="974"/>
      <w:bookmarkEnd w:id="975"/>
    </w:p>
    <w:p>
      <w:pPr>
        <w:spacing w:line="360" w:lineRule="auto"/>
        <w:ind w:firstLine="480"/>
        <w:rPr>
          <w:rFonts w:ascii="宋体" w:hAnsi="宋体"/>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临边护栏建议采用栅栏式定型化防护栏，高度为1</w:t>
      </w:r>
      <w:r>
        <w:rPr>
          <w:color w:val="000000" w:themeColor="text1"/>
          <w:sz w:val="24"/>
          <w:highlight w:val="none"/>
          <w14:textFill>
            <w14:solidFill>
              <w14:schemeClr w14:val="tx1"/>
            </w14:solidFill>
          </w14:textFill>
        </w:rPr>
        <w:t>.2m</w:t>
      </w:r>
      <w:r>
        <w:rPr>
          <w:rFonts w:hint="eastAsia"/>
          <w:color w:val="000000" w:themeColor="text1"/>
          <w:sz w:val="24"/>
          <w:highlight w:val="none"/>
          <w14:textFill>
            <w14:solidFill>
              <w14:schemeClr w14:val="tx1"/>
            </w14:solidFill>
          </w14:textFill>
        </w:rPr>
        <w:t>。定型化防护尺寸统一为1200X1900mm，色标统一为红白色，底部踢脚板色标为红白相间，3</w:t>
      </w:r>
      <w:r>
        <w:rPr>
          <w:color w:val="000000" w:themeColor="text1"/>
          <w:sz w:val="24"/>
          <w:highlight w:val="none"/>
          <w14:textFill>
            <w14:solidFill>
              <w14:schemeClr w14:val="tx1"/>
            </w14:solidFill>
          </w14:textFill>
        </w:rPr>
        <w:t>mm</w:t>
      </w:r>
      <w:r>
        <w:rPr>
          <w:rFonts w:hint="eastAsia"/>
          <w:color w:val="000000" w:themeColor="text1"/>
          <w:sz w:val="24"/>
          <w:highlight w:val="none"/>
          <w14:textFill>
            <w14:solidFill>
              <w14:schemeClr w14:val="tx1"/>
            </w14:solidFill>
          </w14:textFill>
        </w:rPr>
        <w:t>厚铁板，高2</w:t>
      </w:r>
      <w:r>
        <w:rPr>
          <w:color w:val="000000" w:themeColor="text1"/>
          <w:sz w:val="24"/>
          <w:highlight w:val="none"/>
          <w14:textFill>
            <w14:solidFill>
              <w14:schemeClr w14:val="tx1"/>
            </w14:solidFill>
          </w14:textFill>
        </w:rPr>
        <w:t>00mm</w:t>
      </w:r>
      <w:r>
        <w:rPr>
          <w:rFonts w:hint="eastAsia"/>
          <w:color w:val="000000" w:themeColor="text1"/>
          <w:sz w:val="24"/>
          <w:highlight w:val="none"/>
          <w14:textFill>
            <w14:solidFill>
              <w14:schemeClr w14:val="tx1"/>
            </w14:solidFill>
          </w14:textFill>
        </w:rPr>
        <w:t>，水平相间尺寸为200mm。固定立杆色标为红白相间，</w:t>
      </w:r>
      <w:r>
        <w:rPr>
          <w:rFonts w:hint="eastAsia" w:ascii="宋体" w:hAnsi="宋体"/>
          <w:color w:val="000000" w:themeColor="text1"/>
          <w:sz w:val="24"/>
          <w:highlight w:val="none"/>
          <w14:textFill>
            <w14:solidFill>
              <w14:schemeClr w14:val="tx1"/>
            </w14:solidFill>
          </w14:textFill>
        </w:rPr>
        <w:t>从上往下依次为</w:t>
      </w:r>
      <w:r>
        <w:rPr>
          <w:rFonts w:ascii="宋体" w:hAnsi="宋体"/>
          <w:color w:val="000000" w:themeColor="text1"/>
          <w:sz w:val="24"/>
          <w:highlight w:val="none"/>
          <w14:textFill>
            <w14:solidFill>
              <w14:schemeClr w14:val="tx1"/>
            </w14:solidFill>
          </w14:textFill>
        </w:rPr>
        <w:t>300mm</w:t>
      </w:r>
      <w:r>
        <w:rPr>
          <w:rFonts w:hint="eastAsia" w:ascii="宋体" w:hAnsi="宋体"/>
          <w:color w:val="000000" w:themeColor="text1"/>
          <w:sz w:val="24"/>
          <w:highlight w:val="none"/>
          <w14:textFill>
            <w14:solidFill>
              <w14:schemeClr w14:val="tx1"/>
            </w14:solidFill>
          </w14:textFill>
        </w:rPr>
        <w:t>（白）、</w:t>
      </w:r>
      <w:r>
        <w:rPr>
          <w:rFonts w:ascii="宋体" w:hAnsi="宋体"/>
          <w:color w:val="000000" w:themeColor="text1"/>
          <w:sz w:val="24"/>
          <w:highlight w:val="none"/>
          <w14:textFill>
            <w14:solidFill>
              <w14:schemeClr w14:val="tx1"/>
            </w14:solidFill>
          </w14:textFill>
        </w:rPr>
        <w:t>400mm</w:t>
      </w:r>
      <w:r>
        <w:rPr>
          <w:rFonts w:hint="eastAsia" w:ascii="宋体" w:hAnsi="宋体"/>
          <w:color w:val="000000" w:themeColor="text1"/>
          <w:sz w:val="24"/>
          <w:highlight w:val="none"/>
          <w14:textFill>
            <w14:solidFill>
              <w14:schemeClr w14:val="tx1"/>
            </w14:solidFill>
          </w14:textFill>
        </w:rPr>
        <w:t>（红）、</w:t>
      </w:r>
      <w:r>
        <w:rPr>
          <w:rFonts w:ascii="宋体" w:hAnsi="宋体"/>
          <w:color w:val="000000" w:themeColor="text1"/>
          <w:sz w:val="24"/>
          <w:highlight w:val="none"/>
          <w14:textFill>
            <w14:solidFill>
              <w14:schemeClr w14:val="tx1"/>
            </w14:solidFill>
          </w14:textFill>
        </w:rPr>
        <w:t>300mm</w:t>
      </w:r>
      <w:r>
        <w:rPr>
          <w:rFonts w:hint="eastAsia" w:ascii="宋体" w:hAnsi="宋体"/>
          <w:color w:val="000000" w:themeColor="text1"/>
          <w:sz w:val="24"/>
          <w:highlight w:val="none"/>
          <w14:textFill>
            <w14:solidFill>
              <w14:schemeClr w14:val="tx1"/>
            </w14:solidFill>
          </w14:textFill>
        </w:rPr>
        <w:t>（白），边框采用30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*30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方钢制作；栏杆两侧立柱40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*40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；立柱垫板120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*120</w:t>
      </w:r>
      <w:r>
        <w:rPr>
          <w:rFonts w:ascii="宋体" w:hAnsi="宋体"/>
          <w:color w:val="000000" w:themeColor="text1"/>
          <w:sz w:val="24"/>
          <w:highlight w:val="none"/>
          <w14:textFill>
            <w14:solidFill>
              <w14:schemeClr w14:val="tx1"/>
            </w14:solidFill>
          </w14:textFill>
        </w:rPr>
        <w:t>mm</w:t>
      </w:r>
      <w:r>
        <w:rPr>
          <w:rFonts w:hint="eastAsia" w:ascii="宋体" w:hAnsi="宋体"/>
          <w:color w:val="000000" w:themeColor="text1"/>
          <w:sz w:val="24"/>
          <w:highlight w:val="none"/>
          <w14:textFill>
            <w14:solidFill>
              <w14:schemeClr w14:val="tx1"/>
            </w14:solidFill>
          </w14:textFill>
        </w:rPr>
        <w:t>，厚度4mm，立柱使用四个膨胀螺栓与地面连接固定；</w:t>
      </w:r>
      <w:r>
        <w:rPr>
          <w:rFonts w:hint="eastAsia"/>
          <w:color w:val="000000" w:themeColor="text1"/>
          <w:sz w:val="24"/>
          <w:highlight w:val="none"/>
          <w14:textFill>
            <w14:solidFill>
              <w14:schemeClr w14:val="tx1"/>
            </w14:solidFill>
          </w14:textFill>
        </w:rPr>
        <w:t>中间设3</w:t>
      </w:r>
      <w:r>
        <w:rPr>
          <w:color w:val="000000" w:themeColor="text1"/>
          <w:sz w:val="24"/>
          <w:highlight w:val="none"/>
          <w14:textFill>
            <w14:solidFill>
              <w14:schemeClr w14:val="tx1"/>
            </w14:solidFill>
          </w14:textFill>
        </w:rPr>
        <w:t>mm</w:t>
      </w:r>
      <w:r>
        <w:rPr>
          <w:rFonts w:hint="eastAsia"/>
          <w:color w:val="000000" w:themeColor="text1"/>
          <w:sz w:val="24"/>
          <w:highlight w:val="none"/>
          <w14:textFill>
            <w14:solidFill>
              <w14:schemeClr w14:val="tx1"/>
            </w14:solidFill>
          </w14:textFill>
        </w:rPr>
        <w:t>厚铁板，刷红色油漆，并设置安全警示标语，字体白色。</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3277235" cy="1997075"/>
            <wp:effectExtent l="0" t="0" r="0" b="0"/>
            <wp:docPr id="7" name="图片 7" descr="定型化围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定型化围栏"/>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3277235" cy="199707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76" w:name="_Toc27136"/>
      <w:bookmarkStart w:id="977" w:name="_Toc28438"/>
      <w:bookmarkStart w:id="978" w:name="_Toc44492642"/>
      <w:r>
        <w:rPr>
          <w:color w:val="000000" w:themeColor="text1"/>
          <w:sz w:val="24"/>
          <w:szCs w:val="24"/>
          <w:highlight w:val="none"/>
          <w14:textFill>
            <w14:solidFill>
              <w14:schemeClr w14:val="tx1"/>
            </w14:solidFill>
          </w14:textFill>
        </w:rPr>
        <w:t xml:space="preserve">2.2 </w:t>
      </w:r>
      <w:r>
        <w:rPr>
          <w:rFonts w:hint="eastAsia"/>
          <w:color w:val="000000" w:themeColor="text1"/>
          <w:sz w:val="24"/>
          <w:szCs w:val="24"/>
          <w:highlight w:val="none"/>
          <w14:textFill>
            <w14:solidFill>
              <w14:schemeClr w14:val="tx1"/>
            </w14:solidFill>
          </w14:textFill>
        </w:rPr>
        <w:t>预留洞口安全防护</w:t>
      </w:r>
      <w:bookmarkEnd w:id="976"/>
      <w:bookmarkEnd w:id="977"/>
      <w:bookmarkEnd w:id="978"/>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（1）垂直洞口：</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对于窗口、竖向洞口高度低于1000mm的临边，可以采用横杆进行防护，其端部采用专用连接件（单边扣件或铸铁式防护配件）进行固定。栏杆采用一道栏杆形式，栏杆离地1200mm。如窗口或竖向洞口的下沿距离地面高度过低，视情况增加一道栏杆。钢管表面涂刷红白相间油漆警示，并张贴安全警示标志。</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2889250" cy="2560320"/>
            <wp:effectExtent l="0" t="0" r="0" b="0"/>
            <wp:docPr id="8" name="图片 8" descr="15839958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1583995836(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2889250" cy="2560320"/>
                    </a:xfrm>
                    <a:prstGeom prst="rect">
                      <a:avLst/>
                    </a:prstGeom>
                    <a:noFill/>
                    <a:ln>
                      <a:noFill/>
                    </a:ln>
                  </pic:spPr>
                </pic:pic>
              </a:graphicData>
            </a:graphic>
          </wp:inline>
        </w:drawing>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（2）非垂直洞口：</w:t>
      </w:r>
    </w:p>
    <w:p>
      <w:pPr>
        <w:spacing w:line="360" w:lineRule="auto"/>
        <w:ind w:firstLine="480" w:firstLineChars="200"/>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t>1</w:t>
      </w:r>
      <w:r>
        <w:rPr>
          <w:rFonts w:hint="eastAsia"/>
          <w:color w:val="000000" w:themeColor="text1"/>
          <w:sz w:val="24"/>
          <w:highlight w:val="none"/>
          <w14:textFill>
            <w14:solidFill>
              <w14:schemeClr w14:val="tx1"/>
            </w14:solidFill>
          </w14:textFill>
        </w:rPr>
        <w:t>）边长小于1500mm的预留洞口</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楼板、屋面和平台等面上短边尺寸小于 1500mm 的洞口，必须用坚实的盖板盖住洞口；盖板须搁置平稳均衡，并用钉在盖板上的木方顶紧洞口边框，防止盖板移位；盖板上表面刷红白相间警戒色和“严禁挪移”黑色字样。</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1697355" cy="1689735"/>
            <wp:effectExtent l="0" t="0" r="0" b="0"/>
            <wp:docPr id="9" name="图片 9" descr="孔洞盖板俯视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孔洞盖板俯视图"/>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1697355" cy="1689735"/>
                    </a:xfrm>
                    <a:prstGeom prst="rect">
                      <a:avLst/>
                    </a:prstGeom>
                    <a:noFill/>
                    <a:ln>
                      <a:noFill/>
                    </a:ln>
                  </pic:spPr>
                </pic:pic>
              </a:graphicData>
            </a:graphic>
          </wp:inline>
        </w:drawing>
      </w:r>
      <w:r>
        <w:rPr>
          <w:color w:val="000000" w:themeColor="text1"/>
          <w:sz w:val="24"/>
          <w:highlight w:val="none"/>
          <w14:textFill>
            <w14:solidFill>
              <w14:schemeClr w14:val="tx1"/>
            </w14:solidFill>
          </w14:textFill>
        </w:rPr>
        <w:t xml:space="preserve">  </w:t>
      </w:r>
      <w:r>
        <w:rPr>
          <w:color w:val="000000" w:themeColor="text1"/>
          <w:sz w:val="24"/>
          <w:highlight w:val="none"/>
          <w14:textFill>
            <w14:solidFill>
              <w14:schemeClr w14:val="tx1"/>
            </w14:solidFill>
          </w14:textFill>
        </w:rPr>
        <w:drawing>
          <wp:inline distT="0" distB="0" distL="0" distR="0">
            <wp:extent cx="2903855" cy="1675130"/>
            <wp:effectExtent l="0" t="0" r="0" b="0"/>
            <wp:docPr id="10" name="图片 10" descr="15379337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1537933710(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2903855" cy="1675130"/>
                    </a:xfrm>
                    <a:prstGeom prst="rect">
                      <a:avLst/>
                    </a:prstGeom>
                    <a:noFill/>
                    <a:ln>
                      <a:noFill/>
                    </a:ln>
                  </pic:spPr>
                </pic:pic>
              </a:graphicData>
            </a:graphic>
          </wp:inline>
        </w:drawing>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2）边长为1500mm以上的洞口</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洞口四周用定型化防护栏做围挡，洞口采用水平安全网封闭，并悬挂警示标牌及责任单位信息牌。</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2019300" cy="1536065"/>
            <wp:effectExtent l="0" t="0" r="0" b="0"/>
            <wp:docPr id="11" name="图片 11" descr="15839960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1583996043(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2019300" cy="1536065"/>
                    </a:xfrm>
                    <a:prstGeom prst="rect">
                      <a:avLst/>
                    </a:prstGeom>
                    <a:noFill/>
                    <a:ln>
                      <a:noFill/>
                    </a:ln>
                  </pic:spPr>
                </pic:pic>
              </a:graphicData>
            </a:graphic>
          </wp:inline>
        </w:drawing>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3）洞口防护色标</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防护色标统一为红白相间的斜条纹，倾角为4</w:t>
      </w:r>
      <w:r>
        <w:rPr>
          <w:color w:val="000000" w:themeColor="text1"/>
          <w:sz w:val="24"/>
          <w:highlight w:val="none"/>
          <w14:textFill>
            <w14:solidFill>
              <w14:schemeClr w14:val="tx1"/>
            </w14:solidFill>
          </w14:textFill>
        </w:rPr>
        <w:t>5</w:t>
      </w:r>
      <w:r>
        <w:rPr>
          <w:rFonts w:hint="eastAsia"/>
          <w:color w:val="000000" w:themeColor="text1"/>
          <w:sz w:val="24"/>
          <w:highlight w:val="none"/>
          <w14:textFill>
            <w14:solidFill>
              <w14:schemeClr w14:val="tx1"/>
            </w14:solidFill>
          </w14:textFill>
        </w:rPr>
        <w:t>度。洞口尺寸小于500mm的，水平相间尺寸为100mm；洞口尺寸大于500mm小于1500mm的，水平相间尺寸为150mm；洞口尺寸大于1500mm的，水平相间尺寸为200mm。</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79" w:name="_Toc9699"/>
      <w:bookmarkStart w:id="980" w:name="_Toc44492643"/>
      <w:bookmarkStart w:id="981" w:name="_Toc23890"/>
      <w:r>
        <w:rPr>
          <w:rFonts w:hint="eastAsia"/>
          <w:color w:val="000000" w:themeColor="text1"/>
          <w:sz w:val="24"/>
          <w:szCs w:val="24"/>
          <w:highlight w:val="none"/>
          <w14:textFill>
            <w14:solidFill>
              <w14:schemeClr w14:val="tx1"/>
            </w14:solidFill>
          </w14:textFill>
        </w:rPr>
        <w:t>2</w:t>
      </w:r>
      <w:r>
        <w:rPr>
          <w:color w:val="000000" w:themeColor="text1"/>
          <w:sz w:val="24"/>
          <w:szCs w:val="24"/>
          <w:highlight w:val="none"/>
          <w14:textFill>
            <w14:solidFill>
              <w14:schemeClr w14:val="tx1"/>
            </w14:solidFill>
          </w14:textFill>
        </w:rPr>
        <w:t xml:space="preserve">.3 </w:t>
      </w:r>
      <w:r>
        <w:rPr>
          <w:rFonts w:hint="eastAsia"/>
          <w:color w:val="000000" w:themeColor="text1"/>
          <w:sz w:val="24"/>
          <w:szCs w:val="24"/>
          <w:highlight w:val="none"/>
          <w14:textFill>
            <w14:solidFill>
              <w14:schemeClr w14:val="tx1"/>
            </w14:solidFill>
          </w14:textFill>
        </w:rPr>
        <w:t>电梯井（管道井）口安全防护</w:t>
      </w:r>
      <w:bookmarkEnd w:id="979"/>
      <w:bookmarkEnd w:id="980"/>
      <w:bookmarkEnd w:id="981"/>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电梯井（管道井）口使用定型化防护栏，高度为1</w:t>
      </w:r>
      <w:r>
        <w:rPr>
          <w:color w:val="000000" w:themeColor="text1"/>
          <w:sz w:val="24"/>
          <w:highlight w:val="none"/>
          <w14:textFill>
            <w14:solidFill>
              <w14:schemeClr w14:val="tx1"/>
            </w14:solidFill>
          </w14:textFill>
        </w:rPr>
        <w:t>.8m</w:t>
      </w:r>
      <w:r>
        <w:rPr>
          <w:rFonts w:hint="eastAsia"/>
          <w:color w:val="000000" w:themeColor="text1"/>
          <w:sz w:val="24"/>
          <w:highlight w:val="none"/>
          <w14:textFill>
            <w14:solidFill>
              <w14:schemeClr w14:val="tx1"/>
            </w14:solidFill>
          </w14:textFill>
        </w:rPr>
        <w:t>，长度试现场实际情况确定，色标统一为红白色；主框架采用2</w:t>
      </w:r>
      <w:r>
        <w:rPr>
          <w:color w:val="000000" w:themeColor="text1"/>
          <w:sz w:val="24"/>
          <w:highlight w:val="none"/>
          <w14:textFill>
            <w14:solidFill>
              <w14:schemeClr w14:val="tx1"/>
            </w14:solidFill>
          </w14:textFill>
        </w:rPr>
        <w:t>.5cm</w:t>
      </w:r>
      <w:r>
        <w:rPr>
          <w:rFonts w:hint="eastAsia"/>
          <w:color w:val="000000" w:themeColor="text1"/>
          <w:sz w:val="24"/>
          <w:highlight w:val="none"/>
          <w14:textFill>
            <w14:solidFill>
              <w14:schemeClr w14:val="tx1"/>
            </w14:solidFill>
          </w14:textFill>
        </w:rPr>
        <w:t>方钢或圆钢制作，中间设3</w:t>
      </w:r>
      <w:r>
        <w:rPr>
          <w:color w:val="000000" w:themeColor="text1"/>
          <w:sz w:val="24"/>
          <w:highlight w:val="none"/>
          <w14:textFill>
            <w14:solidFill>
              <w14:schemeClr w14:val="tx1"/>
            </w14:solidFill>
          </w14:textFill>
        </w:rPr>
        <w:t>mm</w:t>
      </w:r>
      <w:r>
        <w:rPr>
          <w:rFonts w:hint="eastAsia"/>
          <w:color w:val="000000" w:themeColor="text1"/>
          <w:sz w:val="24"/>
          <w:highlight w:val="none"/>
          <w14:textFill>
            <w14:solidFill>
              <w14:schemeClr w14:val="tx1"/>
            </w14:solidFill>
          </w14:textFill>
        </w:rPr>
        <w:t>厚铁板，刷红色油漆，并设置安全警示标语，字体白色；框架间设置孔眼小于2</w:t>
      </w:r>
      <w:r>
        <w:rPr>
          <w:color w:val="000000" w:themeColor="text1"/>
          <w:sz w:val="24"/>
          <w:highlight w:val="none"/>
          <w14:textFill>
            <w14:solidFill>
              <w14:schemeClr w14:val="tx1"/>
            </w14:solidFill>
          </w14:textFill>
        </w:rPr>
        <w:t>cm</w:t>
      </w:r>
      <w:r>
        <w:rPr>
          <w:rFonts w:hint="eastAsia"/>
          <w:color w:val="000000" w:themeColor="text1"/>
          <w:sz w:val="24"/>
          <w:highlight w:val="none"/>
          <w14:textFill>
            <w14:solidFill>
              <w14:schemeClr w14:val="tx1"/>
            </w14:solidFill>
          </w14:textFill>
        </w:rPr>
        <w:t>钢板网；立杆红白相间，</w:t>
      </w:r>
      <w:r>
        <w:rPr>
          <w:rFonts w:hint="eastAsia" w:ascii="宋体" w:hAnsi="宋体"/>
          <w:color w:val="000000" w:themeColor="text1"/>
          <w:sz w:val="24"/>
          <w:highlight w:val="none"/>
          <w14:textFill>
            <w14:solidFill>
              <w14:schemeClr w14:val="tx1"/>
            </w14:solidFill>
          </w14:textFill>
        </w:rPr>
        <w:t>从上往下依次为</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（白）、</w:t>
      </w:r>
      <w:r>
        <w:rPr>
          <w:rFonts w:ascii="宋体" w:hAnsi="宋体"/>
          <w:color w:val="000000" w:themeColor="text1"/>
          <w:sz w:val="24"/>
          <w:highlight w:val="none"/>
          <w14:textFill>
            <w14:solidFill>
              <w14:schemeClr w14:val="tx1"/>
            </w14:solidFill>
          </w14:textFill>
        </w:rPr>
        <w:t>300mm</w:t>
      </w:r>
      <w:r>
        <w:rPr>
          <w:rFonts w:hint="eastAsia" w:ascii="宋体" w:hAnsi="宋体"/>
          <w:color w:val="000000" w:themeColor="text1"/>
          <w:sz w:val="24"/>
          <w:highlight w:val="none"/>
          <w14:textFill>
            <w14:solidFill>
              <w14:schemeClr w14:val="tx1"/>
            </w14:solidFill>
          </w14:textFill>
        </w:rPr>
        <w:t>（红）、</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（白）、</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（红）、</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（白）、</w:t>
      </w:r>
      <w:r>
        <w:rPr>
          <w:rFonts w:ascii="宋体" w:hAnsi="宋体"/>
          <w:color w:val="000000" w:themeColor="text1"/>
          <w:sz w:val="24"/>
          <w:highlight w:val="none"/>
          <w14:textFill>
            <w14:solidFill>
              <w14:schemeClr w14:val="tx1"/>
            </w14:solidFill>
          </w14:textFill>
        </w:rPr>
        <w:t>300mm</w:t>
      </w:r>
      <w:r>
        <w:rPr>
          <w:rFonts w:hint="eastAsia" w:ascii="宋体" w:hAnsi="宋体"/>
          <w:color w:val="000000" w:themeColor="text1"/>
          <w:sz w:val="24"/>
          <w:highlight w:val="none"/>
          <w14:textFill>
            <w14:solidFill>
              <w14:schemeClr w14:val="tx1"/>
            </w14:solidFill>
          </w14:textFill>
        </w:rPr>
        <w:t>（红）、</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（白）；水平杆红白相间尺寸为2</w:t>
      </w:r>
      <w:r>
        <w:rPr>
          <w:rFonts w:ascii="宋体" w:hAnsi="宋体"/>
          <w:color w:val="000000" w:themeColor="text1"/>
          <w:sz w:val="24"/>
          <w:highlight w:val="none"/>
          <w14:textFill>
            <w14:solidFill>
              <w14:schemeClr w14:val="tx1"/>
            </w14:solidFill>
          </w14:textFill>
        </w:rPr>
        <w:t>00mm</w:t>
      </w:r>
      <w:r>
        <w:rPr>
          <w:rFonts w:hint="eastAsia" w:ascii="宋体" w:hAnsi="宋体"/>
          <w:color w:val="000000" w:themeColor="text1"/>
          <w:sz w:val="24"/>
          <w:highlight w:val="none"/>
          <w14:textFill>
            <w14:solidFill>
              <w14:schemeClr w14:val="tx1"/>
            </w14:solidFill>
          </w14:textFill>
        </w:rPr>
        <w:t>，两侧用膨胀螺栓与墙体连接；</w:t>
      </w:r>
      <w:r>
        <w:rPr>
          <w:rFonts w:hint="eastAsia"/>
          <w:color w:val="000000" w:themeColor="text1"/>
          <w:sz w:val="24"/>
          <w:highlight w:val="none"/>
          <w14:textFill>
            <w14:solidFill>
              <w14:schemeClr w14:val="tx1"/>
            </w14:solidFill>
          </w14:textFill>
        </w:rPr>
        <w:t>底部设2</w:t>
      </w:r>
      <w:r>
        <w:rPr>
          <w:color w:val="000000" w:themeColor="text1"/>
          <w:sz w:val="24"/>
          <w:highlight w:val="none"/>
          <w14:textFill>
            <w14:solidFill>
              <w14:schemeClr w14:val="tx1"/>
            </w14:solidFill>
          </w14:textFill>
        </w:rPr>
        <w:t>00mm</w:t>
      </w:r>
      <w:r>
        <w:rPr>
          <w:rFonts w:hint="eastAsia"/>
          <w:color w:val="000000" w:themeColor="text1"/>
          <w:sz w:val="24"/>
          <w:highlight w:val="none"/>
          <w14:textFill>
            <w14:solidFill>
              <w14:schemeClr w14:val="tx1"/>
            </w14:solidFill>
          </w14:textFill>
        </w:rPr>
        <w:t>高踢脚板，材质为3</w:t>
      </w:r>
      <w:r>
        <w:rPr>
          <w:color w:val="000000" w:themeColor="text1"/>
          <w:sz w:val="24"/>
          <w:highlight w:val="none"/>
          <w14:textFill>
            <w14:solidFill>
              <w14:schemeClr w14:val="tx1"/>
            </w14:solidFill>
          </w14:textFill>
        </w:rPr>
        <w:t>mm</w:t>
      </w:r>
      <w:r>
        <w:rPr>
          <w:rFonts w:hint="eastAsia"/>
          <w:color w:val="000000" w:themeColor="text1"/>
          <w:sz w:val="24"/>
          <w:highlight w:val="none"/>
          <w14:textFill>
            <w14:solidFill>
              <w14:schemeClr w14:val="tx1"/>
            </w14:solidFill>
          </w14:textFill>
        </w:rPr>
        <w:t>厚铁板，刷红白相间警戒色，水平相间尺寸为200mm；防护门底端与地面安装间隙一般为1</w:t>
      </w:r>
      <w:r>
        <w:rPr>
          <w:color w:val="000000" w:themeColor="text1"/>
          <w:sz w:val="24"/>
          <w:highlight w:val="none"/>
          <w14:textFill>
            <w14:solidFill>
              <w14:schemeClr w14:val="tx1"/>
            </w14:solidFill>
          </w14:textFill>
        </w:rPr>
        <w:t>~2cm</w:t>
      </w:r>
      <w:r>
        <w:rPr>
          <w:rFonts w:hint="eastAsia"/>
          <w:color w:val="000000" w:themeColor="text1"/>
          <w:sz w:val="24"/>
          <w:highlight w:val="none"/>
          <w14:textFill>
            <w14:solidFill>
              <w14:schemeClr w14:val="tx1"/>
            </w14:solidFill>
          </w14:textFill>
        </w:rPr>
        <w:t>，不宜过大。防护门外侧悬挂警示标牌及责任单位。</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3131185" cy="2399665"/>
            <wp:effectExtent l="0" t="0" r="0" b="0"/>
            <wp:docPr id="12" name="图片 12" descr="电梯井防护示意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电梯井防护示意图"/>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3131185" cy="2399665"/>
                    </a:xfrm>
                    <a:prstGeom prst="rect">
                      <a:avLst/>
                    </a:prstGeom>
                    <a:noFill/>
                    <a:ln>
                      <a:noFill/>
                    </a:ln>
                  </pic:spPr>
                </pic:pic>
              </a:graphicData>
            </a:graphic>
          </wp:inline>
        </w:drawing>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电梯井内水平防护采用在井洞内每隔两层且不大于10m用钢管搭设防护平台，上面兜挂安全水平网进行安全防护。电梯井内的施工层上部，应设置隔离防护设施。</w:t>
      </w:r>
    </w:p>
    <w:p>
      <w:pPr>
        <w:spacing w:line="360" w:lineRule="auto"/>
        <w:jc w:val="center"/>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0" distR="0">
            <wp:extent cx="1989455" cy="221678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1989455" cy="221678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82" w:name="_Toc26277"/>
      <w:bookmarkStart w:id="983" w:name="_Toc22482"/>
      <w:bookmarkStart w:id="984" w:name="_Toc44492644"/>
      <w:r>
        <w:rPr>
          <w:rFonts w:hint="eastAsia"/>
          <w:color w:val="000000" w:themeColor="text1"/>
          <w:sz w:val="24"/>
          <w:szCs w:val="24"/>
          <w:highlight w:val="none"/>
          <w14:textFill>
            <w14:solidFill>
              <w14:schemeClr w14:val="tx1"/>
            </w14:solidFill>
          </w14:textFill>
        </w:rPr>
        <w:t>2</w:t>
      </w:r>
      <w:r>
        <w:rPr>
          <w:color w:val="000000" w:themeColor="text1"/>
          <w:sz w:val="24"/>
          <w:szCs w:val="24"/>
          <w:highlight w:val="none"/>
          <w14:textFill>
            <w14:solidFill>
              <w14:schemeClr w14:val="tx1"/>
            </w14:solidFill>
          </w14:textFill>
        </w:rPr>
        <w:t xml:space="preserve">.4 </w:t>
      </w:r>
      <w:r>
        <w:rPr>
          <w:rFonts w:hint="eastAsia"/>
          <w:color w:val="000000" w:themeColor="text1"/>
          <w:sz w:val="24"/>
          <w:szCs w:val="24"/>
          <w:highlight w:val="none"/>
          <w14:textFill>
            <w14:solidFill>
              <w14:schemeClr w14:val="tx1"/>
            </w14:solidFill>
          </w14:textFill>
        </w:rPr>
        <w:t>基坑边安全防护</w:t>
      </w:r>
      <w:bookmarkEnd w:id="982"/>
      <w:bookmarkEnd w:id="983"/>
      <w:bookmarkEnd w:id="984"/>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基坑临边防护一般采用钢管搭设两道防护栏杆形式，下道栏杆离地600mm，上道栏杆离地1200mm，立杆打入地面500mm～700mm深。立杆间距应不超过2000mm，立杆与基坑边坡的距离不应小于500mm。</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防护栏杆内侧满挂密目安全网，防护外侧设置200mm高踢脚板。防护栏杆和踢脚板刷红白（黄黑）相间安全警戒色。</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防护栏杆外侧应设置排水沟，内侧设置≥3%的排水坡，采取有组织的排水。</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基坑周边设置夜间警示灯。护栏外侧悬挂“临边危险，注意安全”提示牌，内侧悬挂“小心坍塌”提示牌。</w:t>
      </w:r>
    </w:p>
    <w:p>
      <w:pPr>
        <w:spacing w:line="360" w:lineRule="auto"/>
        <w:jc w:val="center"/>
        <w:rPr>
          <w:color w:val="000000" w:themeColor="text1"/>
          <w:sz w:val="24"/>
          <w:highlight w:val="none"/>
          <w14:textFill>
            <w14:solidFill>
              <w14:schemeClr w14:val="tx1"/>
            </w14:solidFill>
          </w14:textFill>
        </w:rPr>
      </w:pPr>
      <w:r>
        <w:rPr>
          <w:color w:val="000000" w:themeColor="text1"/>
          <w:sz w:val="24"/>
          <w:highlight w:val="none"/>
          <w14:textFill>
            <w14:solidFill>
              <w14:schemeClr w14:val="tx1"/>
            </w14:solidFill>
          </w14:textFill>
        </w:rPr>
        <w:drawing>
          <wp:inline distT="0" distB="0" distL="0" distR="0">
            <wp:extent cx="4118610" cy="2084705"/>
            <wp:effectExtent l="0" t="0" r="0" b="0"/>
            <wp:docPr id="14" name="图片 14" descr="15839949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583994970(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118610" cy="208470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85" w:name="_Toc8940"/>
      <w:bookmarkStart w:id="986" w:name="_Toc31625"/>
      <w:bookmarkStart w:id="987" w:name="_Toc44492645"/>
      <w:r>
        <w:rPr>
          <w:color w:val="000000" w:themeColor="text1"/>
          <w:sz w:val="24"/>
          <w:szCs w:val="24"/>
          <w:highlight w:val="none"/>
          <w14:textFill>
            <w14:solidFill>
              <w14:schemeClr w14:val="tx1"/>
            </w14:solidFill>
          </w14:textFill>
        </w:rPr>
        <w:t xml:space="preserve">2.5 </w:t>
      </w:r>
      <w:r>
        <w:rPr>
          <w:rFonts w:hint="eastAsia"/>
          <w:color w:val="000000" w:themeColor="text1"/>
          <w:sz w:val="24"/>
          <w:szCs w:val="24"/>
          <w:highlight w:val="none"/>
          <w14:textFill>
            <w14:solidFill>
              <w14:schemeClr w14:val="tx1"/>
            </w14:solidFill>
          </w14:textFill>
        </w:rPr>
        <w:t>楼层边、阳台边、屋面边安全防护</w:t>
      </w:r>
      <w:bookmarkEnd w:id="985"/>
      <w:bookmarkEnd w:id="986"/>
      <w:bookmarkEnd w:id="987"/>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楼层临边、阳台边、屋面临边护栏采用定型化防护栏，定型化防护栏必须与结构主体结构采用螺栓的方式进行固定。</w:t>
      </w:r>
    </w:p>
    <w:p>
      <w:pPr>
        <w:spacing w:line="360" w:lineRule="auto"/>
        <w:jc w:val="center"/>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drawing>
          <wp:inline distT="0" distB="0" distL="0" distR="0">
            <wp:extent cx="2399665" cy="1594485"/>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2399665" cy="159448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88" w:name="_Toc44492646"/>
      <w:bookmarkStart w:id="989" w:name="_Toc10716"/>
      <w:bookmarkStart w:id="990" w:name="_Toc25461"/>
      <w:r>
        <w:rPr>
          <w:color w:val="000000" w:themeColor="text1"/>
          <w:sz w:val="24"/>
          <w:szCs w:val="24"/>
          <w:highlight w:val="none"/>
          <w14:textFill>
            <w14:solidFill>
              <w14:schemeClr w14:val="tx1"/>
            </w14:solidFill>
          </w14:textFill>
        </w:rPr>
        <w:t xml:space="preserve">2.6 </w:t>
      </w:r>
      <w:r>
        <w:rPr>
          <w:rFonts w:hint="eastAsia"/>
          <w:color w:val="000000" w:themeColor="text1"/>
          <w:sz w:val="24"/>
          <w:szCs w:val="24"/>
          <w:highlight w:val="none"/>
          <w14:textFill>
            <w14:solidFill>
              <w14:schemeClr w14:val="tx1"/>
            </w14:solidFill>
          </w14:textFill>
        </w:rPr>
        <w:t>楼梯安全防护</w:t>
      </w:r>
      <w:bookmarkEnd w:id="988"/>
      <w:bookmarkEnd w:id="989"/>
      <w:bookmarkEnd w:id="990"/>
    </w:p>
    <w:p>
      <w:pPr>
        <w:spacing w:line="360" w:lineRule="auto"/>
        <w:ind w:firstLine="480"/>
        <w:jc w:val="left"/>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分层施工的楼梯口和梯段边，必须安装临时防护栏杆和踢脚板；防护栏杆应搭设两道，第一道栏杆离地1200mm，第二道栏杆离地600mm；立杆高度 1</w:t>
      </w:r>
      <w:r>
        <w:rPr>
          <w:color w:val="000000" w:themeColor="text1"/>
          <w:sz w:val="24"/>
          <w:highlight w:val="none"/>
          <w14:textFill>
            <w14:solidFill>
              <w14:schemeClr w14:val="tx1"/>
            </w14:solidFill>
          </w14:textFill>
        </w:rPr>
        <w:t>2</w:t>
      </w:r>
      <w:r>
        <w:rPr>
          <w:rFonts w:hint="eastAsia"/>
          <w:color w:val="000000" w:themeColor="text1"/>
          <w:sz w:val="24"/>
          <w:highlight w:val="none"/>
          <w14:textFill>
            <w14:solidFill>
              <w14:schemeClr w14:val="tx1"/>
            </w14:solidFill>
          </w14:textFill>
        </w:rPr>
        <w:t>00mm，立杆间距不大于2000mm；踢脚板高度为200mm，红白相间，相间尺寸为200mm；楼梯防护栏杆油漆为红白相间，相间尺寸为400mm，楼梯转角处采用定型防护；独立楼梯，若两边均无有效遮挡，则两边均应设置防护栏杆和踢脚板。</w:t>
      </w:r>
    </w:p>
    <w:p>
      <w:pPr>
        <w:spacing w:line="360" w:lineRule="auto"/>
        <w:jc w:val="center"/>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drawing>
          <wp:inline distT="0" distB="0" distL="0" distR="0">
            <wp:extent cx="2157730" cy="147066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2157730" cy="1470660"/>
                    </a:xfrm>
                    <a:prstGeom prst="rect">
                      <a:avLst/>
                    </a:prstGeom>
                    <a:noFill/>
                    <a:ln>
                      <a:noFill/>
                    </a:ln>
                  </pic:spPr>
                </pic:pic>
              </a:graphicData>
            </a:graphic>
          </wp:inline>
        </w:drawing>
      </w:r>
    </w:p>
    <w:p>
      <w:pPr>
        <w:spacing w:line="360" w:lineRule="auto"/>
        <w:ind w:firstLine="480"/>
        <w:rPr>
          <w:b/>
          <w:color w:val="000000" w:themeColor="text1"/>
          <w:sz w:val="24"/>
          <w:highlight w:val="none"/>
          <w14:textFill>
            <w14:solidFill>
              <w14:schemeClr w14:val="tx1"/>
            </w14:solidFill>
          </w14:textFill>
        </w:rPr>
      </w:pPr>
      <w:r>
        <w:rPr>
          <w:b/>
          <w:color w:val="000000" w:themeColor="text1"/>
          <w:sz w:val="24"/>
          <w:highlight w:val="none"/>
          <w14:textFill>
            <w14:solidFill>
              <w14:schemeClr w14:val="tx1"/>
            </w14:solidFill>
          </w14:textFill>
        </w:rPr>
        <w:drawing>
          <wp:inline distT="0" distB="0" distL="0" distR="0">
            <wp:extent cx="4900930" cy="2333625"/>
            <wp:effectExtent l="0" t="0" r="0" b="0"/>
            <wp:docPr id="17" name="图片 17" descr="15839967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1583996748(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4900930" cy="233362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91" w:name="_Toc19538"/>
      <w:bookmarkStart w:id="992" w:name="_Toc44492647"/>
      <w:bookmarkStart w:id="993" w:name="_Toc31618"/>
      <w:r>
        <w:rPr>
          <w:color w:val="000000" w:themeColor="text1"/>
          <w:sz w:val="24"/>
          <w:szCs w:val="24"/>
          <w:highlight w:val="none"/>
          <w14:textFill>
            <w14:solidFill>
              <w14:schemeClr w14:val="tx1"/>
            </w14:solidFill>
          </w14:textFill>
        </w:rPr>
        <w:t>2.7 安全通道防护棚</w:t>
      </w:r>
      <w:bookmarkEnd w:id="991"/>
      <w:bookmarkEnd w:id="992"/>
      <w:bookmarkEnd w:id="993"/>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主通道或施工电梯首层入口搭设安全通道防护棚，防护棚两侧需悬挂宣传横幅，施工电梯安装验收牌必须设置在醒目位置，内容包括：设备概括、电梯限载、安装验收信息、安全操作规程、岗位职责等；尺寸为：宽×高=3000mm×1500mm。施工升降机额定载重量、额定乘员数标牌应置于吊笼内醒目位置。</w:t>
      </w:r>
    </w:p>
    <w:p>
      <w:pPr>
        <w:spacing w:line="360" w:lineRule="auto"/>
        <w:rPr>
          <w:rFonts w:ascii="宋体" w:hAnsi="宋体"/>
          <w:color w:val="000000" w:themeColor="text1"/>
          <w:sz w:val="24"/>
          <w:highlight w:val="none"/>
          <w14:textFill>
            <w14:solidFill>
              <w14:schemeClr w14:val="tx1"/>
            </w14:solidFill>
          </w14:textFill>
        </w:rPr>
      </w:pPr>
      <w:r>
        <w:rPr>
          <w:rFonts w:ascii="仿宋_GB2312" w:eastAsia="仿宋_GB2312"/>
          <w:color w:val="000000" w:themeColor="text1"/>
          <w:sz w:val="32"/>
          <w:szCs w:val="32"/>
          <w:highlight w:val="none"/>
          <w14:textFill>
            <w14:solidFill>
              <w14:schemeClr w14:val="tx1"/>
            </w14:solidFill>
          </w14:textFill>
        </w:rPr>
        <w:drawing>
          <wp:inline distT="0" distB="0" distL="0" distR="0">
            <wp:extent cx="1843405" cy="1960245"/>
            <wp:effectExtent l="0" t="0" r="0" b="0"/>
            <wp:docPr id="18" name="图片 18" descr="C:\Users\王虎\Desktop\新建文件夹\安全通道防护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王虎\Desktop\新建文件夹\安全通道防护棚.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1843405" cy="1960245"/>
                    </a:xfrm>
                    <a:prstGeom prst="rect">
                      <a:avLst/>
                    </a:prstGeom>
                    <a:noFill/>
                    <a:ln>
                      <a:noFill/>
                    </a:ln>
                  </pic:spPr>
                </pic:pic>
              </a:graphicData>
            </a:graphic>
          </wp:inline>
        </w:drawing>
      </w:r>
      <w:r>
        <w:rPr>
          <w:rFonts w:ascii="仿宋_GB2312" w:eastAsia="仿宋_GB2312"/>
          <w:color w:val="000000" w:themeColor="text1"/>
          <w:sz w:val="32"/>
          <w:szCs w:val="32"/>
          <w:highlight w:val="none"/>
          <w14:textFill>
            <w14:solidFill>
              <w14:schemeClr w14:val="tx1"/>
            </w14:solidFill>
          </w14:textFill>
        </w:rPr>
        <w:t xml:space="preserve"> </w:t>
      </w:r>
      <w:r>
        <w:rPr>
          <w:rFonts w:ascii="仿宋_GB2312" w:hAnsi="等线" w:eastAsia="仿宋_GB2312"/>
          <w:color w:val="000000" w:themeColor="text1"/>
          <w:sz w:val="32"/>
          <w:szCs w:val="32"/>
          <w:highlight w:val="none"/>
          <w14:textFill>
            <w14:solidFill>
              <w14:schemeClr w14:val="tx1"/>
            </w14:solidFill>
          </w14:textFill>
        </w:rPr>
        <w:drawing>
          <wp:inline distT="0" distB="0" distL="0" distR="0">
            <wp:extent cx="3350260" cy="1982470"/>
            <wp:effectExtent l="0" t="0" r="0" b="0"/>
            <wp:docPr id="19" name="图片 19" descr="15177576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1517757608(1)"/>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3350260" cy="1982470"/>
                    </a:xfrm>
                    <a:prstGeom prst="rect">
                      <a:avLst/>
                    </a:prstGeom>
                    <a:noFill/>
                    <a:ln>
                      <a:noFill/>
                    </a:ln>
                  </pic:spPr>
                </pic:pic>
              </a:graphicData>
            </a:graphic>
          </wp:inline>
        </w:drawing>
      </w:r>
    </w:p>
    <w:p>
      <w:pPr>
        <w:spacing w:line="360" w:lineRule="auto"/>
        <w:ind w:firstLine="600" w:firstLineChars="25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各楼层施工电梯平台两扇门中间、侧面需全部封闭，封闭材料使用定型式栏杆及钢网，喷楼层数标志。</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94" w:name="_Toc12937"/>
      <w:bookmarkStart w:id="995" w:name="_Toc44492648"/>
      <w:bookmarkStart w:id="996" w:name="_Toc13727"/>
      <w:r>
        <w:rPr>
          <w:rFonts w:hint="eastAsia"/>
          <w:color w:val="000000" w:themeColor="text1"/>
          <w:sz w:val="24"/>
          <w:szCs w:val="24"/>
          <w:highlight w:val="none"/>
          <w14:textFill>
            <w14:solidFill>
              <w14:schemeClr w14:val="tx1"/>
            </w14:solidFill>
          </w14:textFill>
        </w:rPr>
        <w:t>2</w:t>
      </w:r>
      <w:r>
        <w:rPr>
          <w:color w:val="000000" w:themeColor="text1"/>
          <w:sz w:val="24"/>
          <w:szCs w:val="24"/>
          <w:highlight w:val="none"/>
          <w14:textFill>
            <w14:solidFill>
              <w14:schemeClr w14:val="tx1"/>
            </w14:solidFill>
          </w14:textFill>
        </w:rPr>
        <w:t xml:space="preserve">.4 </w:t>
      </w:r>
      <w:r>
        <w:rPr>
          <w:rFonts w:hint="eastAsia"/>
          <w:color w:val="000000" w:themeColor="text1"/>
          <w:sz w:val="24"/>
          <w:szCs w:val="24"/>
          <w:highlight w:val="none"/>
          <w14:textFill>
            <w14:solidFill>
              <w14:schemeClr w14:val="tx1"/>
            </w14:solidFill>
          </w14:textFill>
        </w:rPr>
        <w:t>钢筋加工棚</w:t>
      </w:r>
      <w:bookmarkEnd w:id="994"/>
      <w:bookmarkEnd w:id="995"/>
      <w:bookmarkEnd w:id="996"/>
    </w:p>
    <w:p>
      <w:pPr>
        <w:spacing w:line="360" w:lineRule="auto"/>
        <w:ind w:firstLine="600" w:firstLineChars="250"/>
        <w:jc w:val="center"/>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钢筋加工棚采用定型化加工棚，按T字形设置。地面需要硬化，立柱基础浇筑700*700*700mmC20混凝土，预埋300*300*12mm钢板，基础螺栓为M40，埋深500mm，地脚螺栓外露扣长100mm。立柱采用120x120x8mm方管，立柱间距6m，高4米，涂刷防锈漆。屋架结构采用100x100x5mm方管焊接，与钢柱通过插接加螺栓连接形成整体，钢架上设置C120*50*20*2.5屋面檩条，间距900mm，上铺设0.6mm单层屋面板。在钢架上平铺 50mm木板作为防砸措施。</w:t>
      </w:r>
      <w:r>
        <w:rPr>
          <w:rFonts w:ascii="宋体" w:hAnsi="宋体"/>
          <w:color w:val="000000" w:themeColor="text1"/>
          <w:sz w:val="24"/>
          <w:highlight w:val="none"/>
          <w14:textFill>
            <w14:solidFill>
              <w14:schemeClr w14:val="tx1"/>
            </w14:solidFill>
          </w14:textFill>
        </w:rPr>
        <w:t xml:space="preserve"> </w:t>
      </w:r>
      <w:r>
        <w:rPr>
          <w:color w:val="000000" w:themeColor="text1"/>
          <w:highlight w:val="none"/>
          <w14:textFill>
            <w14:solidFill>
              <w14:schemeClr w14:val="tx1"/>
            </w14:solidFill>
          </w14:textFill>
        </w:rPr>
        <w:drawing>
          <wp:inline distT="0" distB="0" distL="0" distR="0">
            <wp:extent cx="2267585" cy="1448435"/>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2267585" cy="144843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997" w:name="_Toc44492649"/>
      <w:bookmarkStart w:id="998" w:name="_Toc21870"/>
      <w:bookmarkStart w:id="999" w:name="_Toc4812"/>
      <w:r>
        <w:rPr>
          <w:color w:val="000000" w:themeColor="text1"/>
          <w:sz w:val="24"/>
          <w:szCs w:val="24"/>
          <w:highlight w:val="none"/>
          <w14:textFill>
            <w14:solidFill>
              <w14:schemeClr w14:val="tx1"/>
            </w14:solidFill>
          </w14:textFill>
        </w:rPr>
        <w:t>2.</w:t>
      </w:r>
      <w:r>
        <w:rPr>
          <w:rFonts w:hint="eastAsia"/>
          <w:color w:val="000000" w:themeColor="text1"/>
          <w:sz w:val="24"/>
          <w:szCs w:val="24"/>
          <w:highlight w:val="none"/>
          <w14:textFill>
            <w14:solidFill>
              <w14:schemeClr w14:val="tx1"/>
            </w14:solidFill>
          </w14:textFill>
        </w:rPr>
        <w:t>8 施工临时</w:t>
      </w:r>
      <w:r>
        <w:rPr>
          <w:color w:val="000000" w:themeColor="text1"/>
          <w:sz w:val="24"/>
          <w:szCs w:val="24"/>
          <w:highlight w:val="none"/>
          <w14:textFill>
            <w14:solidFill>
              <w14:schemeClr w14:val="tx1"/>
            </w14:solidFill>
          </w14:textFill>
        </w:rPr>
        <w:t>用电</w:t>
      </w:r>
      <w:bookmarkEnd w:id="997"/>
      <w:bookmarkEnd w:id="998"/>
      <w:bookmarkEnd w:id="999"/>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总配电箱和二级配电箱要设置防护棚（防护栅栏），防护棚可采用方钢或圆钢制作，稳固安置在混凝土承台上，配电箱防护栅栏刷红白相间警戒色，防护棚外立面挂安全警示标语。</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2955290" cy="1828800"/>
            <wp:effectExtent l="0" t="0" r="0" b="0"/>
            <wp:docPr id="21" name="图片 21" descr="15839994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1583999497(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955290" cy="1828800"/>
                    </a:xfrm>
                    <a:prstGeom prst="rect">
                      <a:avLst/>
                    </a:prstGeom>
                    <a:noFill/>
                    <a:ln>
                      <a:noFill/>
                    </a:ln>
                  </pic:spPr>
                </pic:pic>
              </a:graphicData>
            </a:graphic>
          </wp:inline>
        </w:drawing>
      </w:r>
      <w:r>
        <w:rPr>
          <w:rFonts w:ascii="宋体" w:hAnsi="宋体"/>
          <w:color w:val="000000" w:themeColor="text1"/>
          <w:sz w:val="24"/>
          <w:highlight w:val="none"/>
          <w14:textFill>
            <w14:solidFill>
              <w14:schemeClr w14:val="tx1"/>
            </w14:solidFill>
          </w14:textFill>
        </w:rPr>
        <w:drawing>
          <wp:inline distT="0" distB="0" distL="0" distR="0">
            <wp:extent cx="2319020" cy="1748155"/>
            <wp:effectExtent l="0" t="0" r="0" b="0"/>
            <wp:docPr id="22" name="图片 22" descr="0b0533db2a647adee43ec2ea8e340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0b0533db2a647adee43ec2ea8e340e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2319020" cy="174815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00" w:name="_Toc20135"/>
      <w:bookmarkStart w:id="1001" w:name="_Toc1109"/>
      <w:bookmarkStart w:id="1002" w:name="_Toc44492650"/>
      <w:r>
        <w:rPr>
          <w:rFonts w:hint="eastAsia"/>
          <w:color w:val="000000" w:themeColor="text1"/>
          <w:sz w:val="24"/>
          <w:szCs w:val="24"/>
          <w:highlight w:val="none"/>
          <w14:textFill>
            <w14:solidFill>
              <w14:schemeClr w14:val="tx1"/>
            </w14:solidFill>
          </w14:textFill>
        </w:rPr>
        <w:t>2.9施工机具安全防护</w:t>
      </w:r>
      <w:bookmarkEnd w:id="1000"/>
      <w:bookmarkEnd w:id="1001"/>
      <w:bookmarkEnd w:id="1002"/>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施工机具应符合国标要求，配有设备开关，应设有漏电保护装置。</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2.9.1圆盘锯安全防护</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锯片不得有裂口和裂纹，不得有</w:t>
      </w:r>
      <w:r>
        <w:rPr>
          <w:rFonts w:ascii="宋体" w:hAnsi="宋体"/>
          <w:color w:val="000000" w:themeColor="text1"/>
          <w:sz w:val="24"/>
          <w:highlight w:val="none"/>
          <w14:textFill>
            <w14:solidFill>
              <w14:schemeClr w14:val="tx1"/>
            </w14:solidFill>
          </w14:textFill>
        </w:rPr>
        <w:t>2</w:t>
      </w:r>
      <w:r>
        <w:rPr>
          <w:rFonts w:hint="eastAsia" w:ascii="宋体" w:hAnsi="宋体"/>
          <w:color w:val="000000" w:themeColor="text1"/>
          <w:sz w:val="24"/>
          <w:highlight w:val="none"/>
          <w14:textFill>
            <w14:solidFill>
              <w14:schemeClr w14:val="tx1"/>
            </w14:solidFill>
          </w14:textFill>
        </w:rPr>
        <w:t>个及以上连续缺齿，圆盘锯应装设分料斗。锯片上方应设置防护罩和防护挡板。锯片旋转方向应正确，转速应稳定。应采用单向控制按钮开关，不得使用顺倒开关。防护罩离台面</w:t>
      </w:r>
      <w:r>
        <w:rPr>
          <w:rFonts w:ascii="宋体" w:hAnsi="宋体"/>
          <w:color w:val="000000" w:themeColor="text1"/>
          <w:sz w:val="24"/>
          <w:highlight w:val="none"/>
          <w14:textFill>
            <w14:solidFill>
              <w14:schemeClr w14:val="tx1"/>
            </w14:solidFill>
          </w14:textFill>
        </w:rPr>
        <w:t>150mm</w:t>
      </w:r>
      <w:r>
        <w:rPr>
          <w:rFonts w:hint="eastAsia" w:ascii="宋体" w:hAnsi="宋体"/>
          <w:color w:val="000000" w:themeColor="text1"/>
          <w:sz w:val="24"/>
          <w:highlight w:val="none"/>
          <w14:textFill>
            <w14:solidFill>
              <w14:schemeClr w14:val="tx1"/>
            </w14:solidFill>
          </w14:textFill>
        </w:rPr>
        <w:t>高，采用</w:t>
      </w:r>
      <w:r>
        <w:rPr>
          <w:rFonts w:ascii="宋体" w:hAnsi="宋体"/>
          <w:color w:val="000000" w:themeColor="text1"/>
          <w:sz w:val="24"/>
          <w:highlight w:val="none"/>
          <w14:textFill>
            <w14:solidFill>
              <w14:schemeClr w14:val="tx1"/>
            </w14:solidFill>
          </w14:textFill>
        </w:rPr>
        <w:t>0.8mm</w:t>
      </w:r>
      <w:r>
        <w:rPr>
          <w:rFonts w:hint="eastAsia" w:ascii="宋体" w:hAnsi="宋体"/>
          <w:color w:val="000000" w:themeColor="text1"/>
          <w:sz w:val="24"/>
          <w:highlight w:val="none"/>
          <w14:textFill>
            <w14:solidFill>
              <w14:schemeClr w14:val="tx1"/>
            </w14:solidFill>
          </w14:textFill>
        </w:rPr>
        <w:t>厚钢板，红白相间警示油漆间距</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，分料器采用</w:t>
      </w:r>
      <w:r>
        <w:rPr>
          <w:rFonts w:ascii="宋体" w:hAnsi="宋体"/>
          <w:color w:val="000000" w:themeColor="text1"/>
          <w:sz w:val="24"/>
          <w:highlight w:val="none"/>
          <w14:textFill>
            <w14:solidFill>
              <w14:schemeClr w14:val="tx1"/>
            </w14:solidFill>
          </w14:textFill>
        </w:rPr>
        <w:t>100mm</w:t>
      </w:r>
      <w:r>
        <w:rPr>
          <w:rFonts w:hint="eastAsia" w:ascii="宋体" w:hAnsi="宋体"/>
          <w:color w:val="000000" w:themeColor="text1"/>
          <w:sz w:val="24"/>
          <w:highlight w:val="none"/>
          <w14:textFill>
            <w14:solidFill>
              <w14:schemeClr w14:val="tx1"/>
            </w14:solidFill>
          </w14:textFill>
        </w:rPr>
        <w:t>宽锯片。</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967865" cy="1806575"/>
            <wp:effectExtent l="0" t="0" r="0" b="0"/>
            <wp:docPr id="23" name="图片 23" descr="15839997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1583999768(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1967865" cy="1806575"/>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2.9.2钢筋机具安全防护</w:t>
      </w:r>
    </w:p>
    <w:p>
      <w:pPr>
        <w:spacing w:line="360" w:lineRule="auto"/>
        <w:ind w:firstLine="465"/>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安全防护装置应齐全可靠，防护罩或防护板安装应牢固，不应破损。接零应符合用电规定。漏电保护器参数应匹配，安装应正确，动作应灵敏可靠；电气保护装置应齐全有效。机械齿轮、皮带轮等高速运转部分，必须安装防护罩或防护板。弯曲机、切断机要有基础座，钢筋机具传动部分要有可靠的防护罩，并刷红白相间警示油漆，间距</w:t>
      </w:r>
      <w:r>
        <w:rPr>
          <w:rFonts w:ascii="宋体" w:hAnsi="宋体"/>
          <w:color w:val="000000" w:themeColor="text1"/>
          <w:sz w:val="24"/>
          <w:highlight w:val="none"/>
          <w14:textFill>
            <w14:solidFill>
              <w14:schemeClr w14:val="tx1"/>
            </w14:solidFill>
          </w14:textFill>
        </w:rPr>
        <w:t>200mm</w:t>
      </w:r>
      <w:r>
        <w:rPr>
          <w:rFonts w:hint="eastAsia" w:ascii="宋体" w:hAnsi="宋体"/>
          <w:color w:val="000000" w:themeColor="text1"/>
          <w:sz w:val="24"/>
          <w:highlight w:val="none"/>
          <w14:textFill>
            <w14:solidFill>
              <w14:schemeClr w14:val="tx1"/>
            </w14:solidFill>
          </w14:textFill>
        </w:rPr>
        <w:t>。</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840480" cy="1390015"/>
            <wp:effectExtent l="0" t="0" r="0" b="0"/>
            <wp:docPr id="24" name="图片 24" descr="15839998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1583999857(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3840480" cy="1390015"/>
                    </a:xfrm>
                    <a:prstGeom prst="rect">
                      <a:avLst/>
                    </a:prstGeom>
                    <a:noFill/>
                    <a:ln>
                      <a:noFill/>
                    </a:ln>
                  </pic:spPr>
                </pic:pic>
              </a:graphicData>
            </a:graphic>
          </wp:inline>
        </w:drawing>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2.9.3砂浆机安全防护</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砂浆机械应有良好的设备基础。移动式砂浆机械应安放在平坦坚实的地坪上。砂浆机械在生产过程中产生的噪声应控制在国家标准《建筑施工场界环境噪声排放标准》GB 12523范围内，其粉尘和固体废弃物排放应符合国家现行相关标准的规定。</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（1）电动机的碳刷与滑环接触应良好，转动中不应有异响、漏电，绝缘性能应符合使用说明书规定，绝缘电阻值不应小于0.5MΩ。</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（2）在运转中电动机轴承允许最高温度取值为：滑动轴承80℃，滚动轴承95℃；正常温度取值应为：滑动轴承40℃，滚动轴承55℃。传动部分要有可靠的防护罩，并刷红白相间警示油漆，间距200mm，要有排水沟。</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2677160" cy="2150745"/>
            <wp:effectExtent l="0" t="0" r="0" b="0"/>
            <wp:docPr id="25" name="图片 25" descr="15839999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1583999959(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2677160" cy="2150745"/>
                    </a:xfrm>
                    <a:prstGeom prst="rect">
                      <a:avLst/>
                    </a:prstGeom>
                    <a:noFill/>
                    <a:ln>
                      <a:noFill/>
                    </a:ln>
                  </pic:spPr>
                </pic:pic>
              </a:graphicData>
            </a:graphic>
          </wp:inline>
        </w:drawing>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2.9.4电焊机安全防护</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现场使用的电焊机，应设有防雨、防潮、防晒、防砸的机棚，并应装设相应的消防器材。焊接区域及焊渣飞溅范围内不得放置易燃易爆物品。</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（1）电焊机导线应具有良好的绝缘，绝缘电阻不得小于0.5MΩ，接地线接地电阻不得大于4Ω；接地部分不得有腐蚀和受潮。</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电焊机一次线长度不超过5m，二次线长度不超过30m，电焊机必须设有单独的电源开关和自动断电装置，应配装二次侧空载降压器。两侧接线应压接牢固，必须安装可靠防护罩。安全防护罩应齐全有效；漏电保护器参数应匹配，安装应正确，动作应灵敏可靠；接零应良好。</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3）电焊机要求制作专用小车，骨架采用L40角钢焊接制作，骨架内钢筋直径为φ14～φ16，竖向钢筋间距不大于150mm，居中位置设置钢筋门，上锁，四角焊接φ16钢筋吊环，屋盖采用镀锌铁皮瓦，均刷红白相间警示油漆间距400mm。露天冒雨不得从事电焊作业。</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909445" cy="1997075"/>
            <wp:effectExtent l="0" t="0" r="0" b="0"/>
            <wp:docPr id="26" name="图片 26" descr="15840000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1584000077(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1909445" cy="1997075"/>
                    </a:xfrm>
                    <a:prstGeom prst="rect">
                      <a:avLst/>
                    </a:prstGeom>
                    <a:noFill/>
                    <a:ln>
                      <a:noFill/>
                    </a:ln>
                  </pic:spPr>
                </pic:pic>
              </a:graphicData>
            </a:graphic>
          </wp:inline>
        </w:drawing>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2.9.5泵送管道固定架</w:t>
      </w:r>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适用场所：用于泵送管道拐弯处固定。材料：采用φ</w:t>
      </w:r>
      <w:r>
        <w:rPr>
          <w:rFonts w:ascii="宋体" w:hAnsi="宋体"/>
          <w:color w:val="000000" w:themeColor="text1"/>
          <w:sz w:val="24"/>
          <w:highlight w:val="none"/>
          <w14:textFill>
            <w14:solidFill>
              <w14:schemeClr w14:val="tx1"/>
            </w14:solidFill>
          </w14:textFill>
        </w:rPr>
        <w:t>48X3.5</w:t>
      </w:r>
      <w:r>
        <w:rPr>
          <w:rFonts w:hint="eastAsia" w:ascii="宋体" w:hAnsi="宋体"/>
          <w:color w:val="000000" w:themeColor="text1"/>
          <w:sz w:val="24"/>
          <w:highlight w:val="none"/>
          <w14:textFill>
            <w14:solidFill>
              <w14:schemeClr w14:val="tx1"/>
            </w14:solidFill>
          </w14:textFill>
        </w:rPr>
        <w:t>钢管。</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916430" cy="1660525"/>
            <wp:effectExtent l="0" t="0" r="0" b="0"/>
            <wp:docPr id="27" name="图片 27" descr="15840001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1584000176(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1916430" cy="1660525"/>
                    </a:xfrm>
                    <a:prstGeom prst="rect">
                      <a:avLst/>
                    </a:prstGeom>
                    <a:noFill/>
                    <a:ln>
                      <a:noFill/>
                    </a:ln>
                  </pic:spPr>
                </pic:pic>
              </a:graphicData>
            </a:graphic>
          </wp:inline>
        </w:drawing>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1003" w:name="_Toc32545"/>
      <w:bookmarkStart w:id="1004" w:name="_Toc10315"/>
      <w:bookmarkStart w:id="1005" w:name="_Toc44492651"/>
      <w:r>
        <w:rPr>
          <w:rFonts w:hint="eastAsia"/>
          <w:color w:val="000000" w:themeColor="text1"/>
          <w:sz w:val="28"/>
          <w:szCs w:val="24"/>
          <w:highlight w:val="none"/>
          <w14:textFill>
            <w14:solidFill>
              <w14:schemeClr w14:val="tx1"/>
            </w14:solidFill>
          </w14:textFill>
        </w:rPr>
        <w:t>三、施工区域</w:t>
      </w:r>
      <w:bookmarkEnd w:id="1003"/>
      <w:bookmarkEnd w:id="1004"/>
      <w:bookmarkEnd w:id="1005"/>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06" w:name="_Toc44492652"/>
      <w:bookmarkStart w:id="1007" w:name="_Toc26371"/>
      <w:bookmarkStart w:id="1008" w:name="_Toc1049"/>
      <w:r>
        <w:rPr>
          <w:color w:val="000000" w:themeColor="text1"/>
          <w:sz w:val="24"/>
          <w:szCs w:val="24"/>
          <w:highlight w:val="none"/>
          <w14:textFill>
            <w14:solidFill>
              <w14:schemeClr w14:val="tx1"/>
            </w14:solidFill>
          </w14:textFill>
        </w:rPr>
        <w:t>3</w:t>
      </w:r>
      <w:r>
        <w:rPr>
          <w:rFonts w:hint="eastAsia"/>
          <w:color w:val="000000" w:themeColor="text1"/>
          <w:sz w:val="24"/>
          <w:szCs w:val="24"/>
          <w:highlight w:val="none"/>
          <w14:textFill>
            <w14:solidFill>
              <w14:schemeClr w14:val="tx1"/>
            </w14:solidFill>
          </w14:textFill>
        </w:rPr>
        <w:t>.1</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材料堆放</w:t>
      </w:r>
      <w:bookmarkEnd w:id="1006"/>
      <w:bookmarkEnd w:id="1007"/>
      <w:bookmarkEnd w:id="1008"/>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w:t>
      </w:r>
      <w:r>
        <w:rPr>
          <w:rFonts w:ascii="宋体" w:hAnsi="宋体"/>
          <w:color w:val="000000" w:themeColor="text1"/>
          <w:sz w:val="24"/>
          <w:highlight w:val="none"/>
          <w14:textFill>
            <w14:solidFill>
              <w14:schemeClr w14:val="tx1"/>
            </w14:solidFill>
          </w14:textFill>
        </w:rPr>
        <w:t>1</w:t>
      </w:r>
      <w:r>
        <w:rPr>
          <w:rFonts w:hint="eastAsia" w:ascii="宋体" w:hAnsi="宋体"/>
          <w:color w:val="000000" w:themeColor="text1"/>
          <w:sz w:val="24"/>
          <w:highlight w:val="none"/>
          <w14:textFill>
            <w14:solidFill>
              <w14:schemeClr w14:val="tx1"/>
            </w14:solidFill>
          </w14:textFill>
        </w:rPr>
        <w:t>）施工现场材料、工具等的堆放必须按照总平面图规定的位置放置；材料堆放要整齐，摆放有序，并挂置临时存放标示牌（标牌内容：产品名称、规格、型号、检验状态和产地等）；标示牌挂置要牢固，方向一致，高度相同；根据要求采用固定式或移动式防护栏进行围闭。</w:t>
      </w:r>
    </w:p>
    <w:p>
      <w:pPr>
        <w:spacing w:line="360" w:lineRule="auto"/>
        <w:ind w:firstLine="480" w:firstLineChars="200"/>
        <w:jc w:val="center"/>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（2）材料配件仓库</w:t>
      </w:r>
      <w:r>
        <w:rPr>
          <w:rFonts w:ascii="宋体" w:hAnsi="宋体"/>
          <w:color w:val="000000" w:themeColor="text1"/>
          <w:sz w:val="24"/>
          <w:highlight w:val="none"/>
          <w14:textFill>
            <w14:solidFill>
              <w14:schemeClr w14:val="tx1"/>
            </w14:solidFill>
          </w14:textFill>
        </w:rPr>
        <w:t>/</w:t>
      </w:r>
      <w:r>
        <w:rPr>
          <w:rFonts w:hint="eastAsia" w:ascii="宋体" w:hAnsi="宋体"/>
          <w:color w:val="000000" w:themeColor="text1"/>
          <w:sz w:val="24"/>
          <w:highlight w:val="none"/>
          <w14:textFill>
            <w14:solidFill>
              <w14:schemeClr w14:val="tx1"/>
            </w14:solidFill>
          </w14:textFill>
        </w:rPr>
        <w:t>应急物资仓库：设置材料配件仓库，货物上架，分类管理，标识清楚，摆放合理有序，台账清楚。应急物资应单独存放，便于取用。</w:t>
      </w:r>
      <w:r>
        <w:rPr>
          <w:rFonts w:ascii="宋体" w:hAnsi="宋体"/>
          <w:color w:val="000000" w:themeColor="text1"/>
          <w:sz w:val="24"/>
          <w:highlight w:val="none"/>
          <w14:textFill>
            <w14:solidFill>
              <w14:schemeClr w14:val="tx1"/>
            </w14:solidFill>
          </w14:textFill>
        </w:rPr>
        <w:drawing>
          <wp:inline distT="0" distB="0" distL="0" distR="0">
            <wp:extent cx="2340610" cy="1616710"/>
            <wp:effectExtent l="0" t="0" r="0" b="0"/>
            <wp:docPr id="28" name="图片 28" descr="15840010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1584001015(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2340610" cy="1616710"/>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（3）模板木方堆放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材料堆放高度不得超过</w:t>
      </w:r>
      <w:r>
        <w:rPr>
          <w:rFonts w:ascii="宋体" w:hAnsi="宋体"/>
          <w:color w:val="000000" w:themeColor="text1"/>
          <w:sz w:val="24"/>
          <w:highlight w:val="none"/>
          <w14:textFill>
            <w14:solidFill>
              <w14:schemeClr w14:val="tx1"/>
            </w14:solidFill>
          </w14:textFill>
        </w:rPr>
        <w:t>1.6m</w:t>
      </w:r>
      <w:r>
        <w:rPr>
          <w:rFonts w:hint="eastAsia" w:ascii="宋体" w:hAnsi="宋体"/>
          <w:color w:val="000000" w:themeColor="text1"/>
          <w:sz w:val="24"/>
          <w:highlight w:val="none"/>
          <w14:textFill>
            <w14:solidFill>
              <w14:schemeClr w14:val="tx1"/>
            </w14:solidFill>
          </w14:textFill>
        </w:rPr>
        <w:t>，并且高度不得大于长度。模板木方应该架空堆放，架空高度不得少于</w:t>
      </w:r>
      <w:r>
        <w:rPr>
          <w:rFonts w:ascii="宋体" w:hAnsi="宋体"/>
          <w:color w:val="000000" w:themeColor="text1"/>
          <w:sz w:val="24"/>
          <w:highlight w:val="none"/>
          <w14:textFill>
            <w14:solidFill>
              <w14:schemeClr w14:val="tx1"/>
            </w14:solidFill>
          </w14:textFill>
        </w:rPr>
        <w:t>100mm</w:t>
      </w:r>
      <w:r>
        <w:rPr>
          <w:rFonts w:hint="eastAsia" w:ascii="宋体" w:hAnsi="宋体"/>
          <w:color w:val="000000" w:themeColor="text1"/>
          <w:sz w:val="24"/>
          <w:highlight w:val="none"/>
          <w14:textFill>
            <w14:solidFill>
              <w14:schemeClr w14:val="tx1"/>
            </w14:solidFill>
          </w14:textFill>
        </w:rPr>
        <w:t>。模板垫木沿模板短方向布置，间距不能超过</w:t>
      </w:r>
      <w:r>
        <w:rPr>
          <w:rFonts w:ascii="宋体" w:hAnsi="宋体"/>
          <w:color w:val="000000" w:themeColor="text1"/>
          <w:sz w:val="24"/>
          <w:highlight w:val="none"/>
          <w14:textFill>
            <w14:solidFill>
              <w14:schemeClr w14:val="tx1"/>
            </w14:solidFill>
          </w14:textFill>
        </w:rPr>
        <w:t>600mm</w:t>
      </w:r>
      <w:r>
        <w:rPr>
          <w:rFonts w:hint="eastAsia" w:ascii="宋体" w:hAnsi="宋体"/>
          <w:color w:val="000000" w:themeColor="text1"/>
          <w:sz w:val="24"/>
          <w:highlight w:val="none"/>
          <w14:textFill>
            <w14:solidFill>
              <w14:schemeClr w14:val="tx1"/>
            </w14:solidFill>
          </w14:textFill>
        </w:rPr>
        <w:t>，模板两端悬空长度不得超过</w:t>
      </w:r>
      <w:r>
        <w:rPr>
          <w:rFonts w:ascii="宋体" w:hAnsi="宋体"/>
          <w:color w:val="000000" w:themeColor="text1"/>
          <w:sz w:val="24"/>
          <w:highlight w:val="none"/>
          <w14:textFill>
            <w14:solidFill>
              <w14:schemeClr w14:val="tx1"/>
            </w14:solidFill>
          </w14:textFill>
        </w:rPr>
        <w:t>100mm</w:t>
      </w:r>
      <w:r>
        <w:rPr>
          <w:rFonts w:hint="eastAsia" w:ascii="宋体" w:hAnsi="宋体"/>
          <w:color w:val="000000" w:themeColor="text1"/>
          <w:sz w:val="24"/>
          <w:highlight w:val="none"/>
          <w14:textFill>
            <w14:solidFill>
              <w14:schemeClr w14:val="tx1"/>
            </w14:solidFill>
          </w14:textFill>
        </w:rPr>
        <w:t>，拼装好的大模板堆放高度不超过六层。木方堆放时，木方与垫木应相互垂直。模板木方堆放应远离动火作业区域。</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2443480" cy="1718945"/>
            <wp:effectExtent l="0" t="0" r="0" b="0"/>
            <wp:docPr id="29" name="图片 29" descr="15840011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1584001113(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2443480" cy="1718945"/>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（4）钢管堆放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钢管堆放应搭设钢管搁置架，底部应找平，上部要设拉结钢管，高度不应超过</w:t>
      </w:r>
      <w:r>
        <w:rPr>
          <w:rFonts w:ascii="宋体" w:hAnsi="宋体"/>
          <w:color w:val="000000" w:themeColor="text1"/>
          <w:sz w:val="24"/>
          <w:highlight w:val="none"/>
          <w14:textFill>
            <w14:solidFill>
              <w14:schemeClr w14:val="tx1"/>
            </w14:solidFill>
          </w14:textFill>
        </w:rPr>
        <w:t>1.6m</w:t>
      </w:r>
      <w:r>
        <w:rPr>
          <w:rFonts w:hint="eastAsia" w:ascii="宋体" w:hAnsi="宋体"/>
          <w:color w:val="000000" w:themeColor="text1"/>
          <w:sz w:val="24"/>
          <w:highlight w:val="none"/>
          <w14:textFill>
            <w14:solidFill>
              <w14:schemeClr w14:val="tx1"/>
            </w14:solidFill>
          </w14:textFill>
        </w:rPr>
        <w:t>，并应按长度分类堆放。</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2186940" cy="1587500"/>
            <wp:effectExtent l="0" t="0" r="0" b="0"/>
            <wp:docPr id="30" name="图片 30"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38"/>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2186940" cy="1587500"/>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（5）钢筋堆放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钢筋堆放区要求场地硬化、地面无积水，堆放限高≤</w:t>
      </w:r>
      <w:r>
        <w:rPr>
          <w:rFonts w:ascii="宋体" w:hAnsi="宋体"/>
          <w:color w:val="000000" w:themeColor="text1"/>
          <w:sz w:val="24"/>
          <w:highlight w:val="none"/>
          <w14:textFill>
            <w14:solidFill>
              <w14:schemeClr w14:val="tx1"/>
            </w14:solidFill>
          </w14:textFill>
        </w:rPr>
        <w:t>1.2m</w:t>
      </w:r>
      <w:r>
        <w:rPr>
          <w:rFonts w:hint="eastAsia" w:ascii="宋体" w:hAnsi="宋体"/>
          <w:color w:val="000000" w:themeColor="text1"/>
          <w:sz w:val="24"/>
          <w:highlight w:val="none"/>
          <w14:textFill>
            <w14:solidFill>
              <w14:schemeClr w14:val="tx1"/>
            </w14:solidFill>
          </w14:textFill>
        </w:rPr>
        <w:t>。不同型号的条形捆扎钢筋用槽钢分隔，每种型号钢筋分别挂设标识牌：标注清楚生产厂家、型号、规格、批号、生产日期、进货日期、检验日期、检验编号、检验状态、责任人等。</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211195" cy="1433830"/>
            <wp:effectExtent l="0" t="0" r="0" b="0"/>
            <wp:docPr id="31" name="图片 31" descr="15840017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1584001734(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3211195" cy="1433830"/>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（6）易燃易爆物品现场临时存放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易燃易爆物品应使用专用存放设备，落实防晒、防雨措施，杜绝现场人员随意接触的可能。周围要配置相应应急设备设施，悬挂安全警示告知牌。</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697355" cy="1741170"/>
            <wp:effectExtent l="0" t="0" r="0" b="0"/>
            <wp:docPr id="32" name="图片 32" descr="1584001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158400180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1697355" cy="1741170"/>
                    </a:xfrm>
                    <a:prstGeom prst="rect">
                      <a:avLst/>
                    </a:prstGeom>
                    <a:noFill/>
                    <a:ln>
                      <a:noFill/>
                    </a:ln>
                  </pic:spPr>
                </pic:pic>
              </a:graphicData>
            </a:graphic>
          </wp:inline>
        </w:drawing>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（7）粉状及桶装材料堆放</w:t>
      </w:r>
    </w:p>
    <w:p>
      <w:pPr>
        <w:spacing w:line="360" w:lineRule="auto"/>
        <w:ind w:firstLine="480" w:firstLineChars="200"/>
        <w:jc w:val="left"/>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水泥、白灰等粉状材料和结构胶、油漆等桶装材料要分期分批存放于干爽的室内仓库。仓库要有足够木枋承托，再用夹板或适当的物料铺面，堆放高度不超过</w:t>
      </w:r>
      <w:r>
        <w:rPr>
          <w:rFonts w:ascii="宋体" w:hAnsi="宋体"/>
          <w:color w:val="000000" w:themeColor="text1"/>
          <w:sz w:val="24"/>
          <w:highlight w:val="none"/>
          <w14:textFill>
            <w14:solidFill>
              <w14:schemeClr w14:val="tx1"/>
            </w14:solidFill>
          </w14:textFill>
        </w:rPr>
        <w:t>2m</w:t>
      </w:r>
      <w:r>
        <w:rPr>
          <w:rFonts w:hint="eastAsia" w:ascii="宋体" w:hAnsi="宋体"/>
          <w:color w:val="000000" w:themeColor="text1"/>
          <w:sz w:val="24"/>
          <w:highlight w:val="none"/>
          <w14:textFill>
            <w14:solidFill>
              <w14:schemeClr w14:val="tx1"/>
            </w14:solidFill>
          </w14:textFill>
        </w:rPr>
        <w:t>或根据材料特性及楼面承重能力降低堆放高度</w:t>
      </w:r>
      <w:r>
        <w:rPr>
          <w:rFonts w:ascii="宋体" w:hAnsi="宋体"/>
          <w:color w:val="000000" w:themeColor="text1"/>
          <w:sz w:val="24"/>
          <w:highlight w:val="none"/>
          <w14:textFill>
            <w14:solidFill>
              <w14:schemeClr w14:val="tx1"/>
            </w14:solidFill>
          </w14:textFill>
        </w:rPr>
        <w:t xml:space="preserve"> (</w:t>
      </w:r>
      <w:r>
        <w:rPr>
          <w:rFonts w:hint="eastAsia" w:ascii="宋体" w:hAnsi="宋体"/>
          <w:color w:val="000000" w:themeColor="text1"/>
          <w:sz w:val="24"/>
          <w:highlight w:val="none"/>
          <w14:textFill>
            <w14:solidFill>
              <w14:schemeClr w14:val="tx1"/>
            </w14:solidFill>
          </w14:textFill>
        </w:rPr>
        <w:t>以最低者为准</w:t>
      </w:r>
      <w:r>
        <w:rPr>
          <w:rFonts w:ascii="宋体" w:hAnsi="宋体"/>
          <w:color w:val="000000" w:themeColor="text1"/>
          <w:sz w:val="24"/>
          <w:highlight w:val="none"/>
          <w14:textFill>
            <w14:solidFill>
              <w14:schemeClr w14:val="tx1"/>
            </w14:solidFill>
          </w14:textFill>
        </w:rPr>
        <w:t>)</w:t>
      </w:r>
      <w:r>
        <w:rPr>
          <w:rFonts w:hint="eastAsia" w:ascii="宋体" w:hAnsi="宋体"/>
          <w:color w:val="000000" w:themeColor="text1"/>
          <w:sz w:val="24"/>
          <w:highlight w:val="none"/>
          <w14:textFill>
            <w14:solidFill>
              <w14:schemeClr w14:val="tx1"/>
            </w14:solidFill>
          </w14:textFill>
        </w:rPr>
        <w:t>。结构胶及油漆等一般外面包有保护胶纸，存放时应保留。</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460115" cy="1550670"/>
            <wp:effectExtent l="0" t="0" r="0" b="0"/>
            <wp:docPr id="33" name="图片 33" descr="15840019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descr="158400191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3460115" cy="1550670"/>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09" w:name="_Toc19598"/>
      <w:bookmarkStart w:id="1010" w:name="_Toc4891"/>
      <w:bookmarkStart w:id="1011" w:name="_Toc44492653"/>
      <w:r>
        <w:rPr>
          <w:color w:val="000000" w:themeColor="text1"/>
          <w:sz w:val="24"/>
          <w:szCs w:val="24"/>
          <w:highlight w:val="none"/>
          <w14:textFill>
            <w14:solidFill>
              <w14:schemeClr w14:val="tx1"/>
            </w14:solidFill>
          </w14:textFill>
        </w:rPr>
        <w:t>3</w:t>
      </w:r>
      <w:r>
        <w:rPr>
          <w:rFonts w:hint="eastAsia"/>
          <w:color w:val="000000" w:themeColor="text1"/>
          <w:sz w:val="24"/>
          <w:szCs w:val="24"/>
          <w:highlight w:val="none"/>
          <w14:textFill>
            <w14:solidFill>
              <w14:schemeClr w14:val="tx1"/>
            </w14:solidFill>
          </w14:textFill>
        </w:rPr>
        <w:t>.2 现场消防设施</w:t>
      </w:r>
      <w:bookmarkEnd w:id="1009"/>
      <w:bookmarkEnd w:id="1010"/>
      <w:bookmarkEnd w:id="1011"/>
    </w:p>
    <w:p>
      <w:pPr>
        <w:spacing w:line="360" w:lineRule="auto"/>
        <w:ind w:firstLine="600" w:firstLineChars="250"/>
        <w:rPr>
          <w:color w:val="000000" w:themeColor="text1"/>
          <w:szCs w:val="21"/>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现场应设置消防器材架，用来存放灭火器、消防水桶、消防铲、消防斧等消防用具。</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550670" cy="139700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1550670" cy="1397000"/>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12" w:name="_Toc44492654"/>
      <w:bookmarkStart w:id="1013" w:name="_Toc1728"/>
      <w:bookmarkStart w:id="1014" w:name="_Toc13445"/>
      <w:r>
        <w:rPr>
          <w:rFonts w:hint="eastAsia"/>
          <w:color w:val="000000" w:themeColor="text1"/>
          <w:sz w:val="24"/>
          <w:szCs w:val="24"/>
          <w:highlight w:val="none"/>
          <w14:textFill>
            <w14:solidFill>
              <w14:schemeClr w14:val="tx1"/>
            </w14:solidFill>
          </w14:textFill>
        </w:rPr>
        <w:t>3.3休息室（吸烟室）</w:t>
      </w:r>
      <w:bookmarkEnd w:id="1012"/>
      <w:bookmarkEnd w:id="1013"/>
      <w:bookmarkEnd w:id="1014"/>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在主要施工场所设置休息室，方便施工人员集中休息，同时远离起重作业区和有交通安全风险的位置。休息室内部配置桌椅、饮水设备、烟灰缸、垃圾箱、灭火器等物品。休息室结构部位采用钢制，并刷漆；内部设置安全生产知识宣传栏、安全操作规程、安全小常识等。</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533140" cy="1697355"/>
            <wp:effectExtent l="0" t="0" r="0" b="0"/>
            <wp:docPr id="35" name="图片 35" descr="1584002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1584002134(1)"/>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3533140" cy="169735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15" w:name="_Toc26602"/>
      <w:bookmarkStart w:id="1016" w:name="_Toc11362"/>
      <w:bookmarkStart w:id="1017" w:name="_Toc44492655"/>
      <w:r>
        <w:rPr>
          <w:rFonts w:hint="eastAsia"/>
          <w:color w:val="000000" w:themeColor="text1"/>
          <w:sz w:val="24"/>
          <w:szCs w:val="24"/>
          <w:highlight w:val="none"/>
          <w14:textFill>
            <w14:solidFill>
              <w14:schemeClr w14:val="tx1"/>
            </w14:solidFill>
          </w14:textFill>
        </w:rPr>
        <w:t>3.3 安全宣讲台</w:t>
      </w:r>
      <w:bookmarkEnd w:id="1015"/>
      <w:bookmarkEnd w:id="1016"/>
      <w:bookmarkEnd w:id="1017"/>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在施工现场出入口设置安全知识宣讲台，组织班组员工开展班前“三交、三查”活动，交代作业安全风险、工作内容、技术要求，查员工精神面貌、个人防护、衣着等；也可用于向外来参观人员进行入场安全教育和项目介绍。</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3035935" cy="1821180"/>
            <wp:effectExtent l="0" t="0" r="0" b="0"/>
            <wp:docPr id="36" name="图片 36" descr="1584002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1584002342(1)"/>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3035935" cy="1821180"/>
                    </a:xfrm>
                    <a:prstGeom prst="rect">
                      <a:avLst/>
                    </a:prstGeom>
                    <a:noFill/>
                    <a:ln>
                      <a:noFill/>
                    </a:ln>
                  </pic:spPr>
                </pic:pic>
              </a:graphicData>
            </a:graphic>
          </wp:inline>
        </w:drawing>
      </w:r>
    </w:p>
    <w:p>
      <w:pPr>
        <w:pStyle w:val="4"/>
        <w:spacing w:before="100" w:beforeAutospacing="1" w:after="100" w:afterAutospacing="1"/>
        <w:rPr>
          <w:color w:val="000000" w:themeColor="text1"/>
          <w:sz w:val="24"/>
          <w:szCs w:val="24"/>
          <w:highlight w:val="none"/>
          <w14:textFill>
            <w14:solidFill>
              <w14:schemeClr w14:val="tx1"/>
            </w14:solidFill>
          </w14:textFill>
        </w:rPr>
      </w:pPr>
      <w:bookmarkStart w:id="1018" w:name="_Toc44492656"/>
      <w:bookmarkStart w:id="1019" w:name="_Toc30171"/>
      <w:bookmarkStart w:id="1020" w:name="_Toc2282"/>
      <w:r>
        <w:rPr>
          <w:rFonts w:hint="eastAsia"/>
          <w:color w:val="000000" w:themeColor="text1"/>
          <w:sz w:val="24"/>
          <w:szCs w:val="24"/>
          <w:highlight w:val="none"/>
          <w14:textFill>
            <w14:solidFill>
              <w14:schemeClr w14:val="tx1"/>
            </w14:solidFill>
          </w14:textFill>
        </w:rPr>
        <w:t>3.4 安全宣传栏</w:t>
      </w:r>
      <w:bookmarkEnd w:id="1018"/>
      <w:bookmarkEnd w:id="1019"/>
      <w:bookmarkEnd w:id="1020"/>
    </w:p>
    <w:p>
      <w:pPr>
        <w:spacing w:line="360" w:lineRule="auto"/>
        <w:ind w:firstLine="600" w:firstLineChars="25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施工营地、施工现场入口处、盾构井入口（门禁）处等设立安全宣传栏，宣传栏上张贴施工现场危险源动态公示、违章行为曝光牌、安全标识标语等。</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4498975" cy="1529080"/>
            <wp:effectExtent l="0" t="0" r="0" b="0"/>
            <wp:docPr id="37" name="图片 37" descr="1584002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1584002427(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4498975" cy="1529080"/>
                    </a:xfrm>
                    <a:prstGeom prst="rect">
                      <a:avLst/>
                    </a:prstGeom>
                    <a:noFill/>
                    <a:ln>
                      <a:noFill/>
                    </a:ln>
                  </pic:spPr>
                </pic:pic>
              </a:graphicData>
            </a:graphic>
          </wp:inline>
        </w:drawing>
      </w:r>
    </w:p>
    <w:p>
      <w:pPr>
        <w:pStyle w:val="4"/>
        <w:spacing w:before="100" w:beforeAutospacing="1" w:after="100" w:afterAutospacing="1"/>
        <w:rPr>
          <w:color w:val="000000" w:themeColor="text1"/>
          <w:sz w:val="24"/>
          <w:szCs w:val="24"/>
          <w:highlight w:val="none"/>
          <w14:textFill>
            <w14:solidFill>
              <w14:schemeClr w14:val="tx1"/>
            </w14:solidFill>
          </w14:textFill>
        </w:rPr>
      </w:pPr>
      <w:bookmarkStart w:id="1021" w:name="_Toc23977"/>
      <w:bookmarkStart w:id="1022" w:name="_Toc44492657"/>
      <w:bookmarkStart w:id="1023" w:name="_Toc21930"/>
      <w:r>
        <w:rPr>
          <w:rFonts w:hint="eastAsia"/>
          <w:color w:val="000000" w:themeColor="text1"/>
          <w:sz w:val="24"/>
          <w:szCs w:val="24"/>
          <w:highlight w:val="none"/>
          <w14:textFill>
            <w14:solidFill>
              <w14:schemeClr w14:val="tx1"/>
            </w14:solidFill>
          </w14:textFill>
        </w:rPr>
        <w:t>3.5 门禁系统</w:t>
      </w:r>
      <w:bookmarkEnd w:id="1021"/>
      <w:bookmarkEnd w:id="1022"/>
      <w:bookmarkEnd w:id="1023"/>
    </w:p>
    <w:p>
      <w:pPr>
        <w:spacing w:line="360" w:lineRule="auto"/>
        <w:ind w:firstLine="600" w:firstLineChars="25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施工入口处设置门禁管理系统，采用安检门，门口应配置视频监控、显示屏、重大危险源告知牌、安全宣传标语、安全警示标志、应急联络牌及联络电话。门禁系统应可以实现刷工作证和人脸双重识别，记录进入施工区内的人员信息，管理人员随时进行核查。</w:t>
      </w:r>
    </w:p>
    <w:p>
      <w:pPr>
        <w:spacing w:line="360" w:lineRule="auto"/>
        <w:jc w:val="center"/>
        <w:rPr>
          <w:rFonts w:ascii="宋体" w:hAnsi="宋体"/>
          <w:color w:val="000000" w:themeColor="text1"/>
          <w:sz w:val="24"/>
          <w:highlight w:val="none"/>
          <w14:textFill>
            <w14:solidFill>
              <w14:schemeClr w14:val="tx1"/>
            </w14:solidFill>
          </w14:textFill>
        </w:rPr>
      </w:pPr>
      <w:r>
        <w:rPr>
          <w:rFonts w:ascii="宋体" w:hAnsi="宋体"/>
          <w:color w:val="000000" w:themeColor="text1"/>
          <w:sz w:val="24"/>
          <w:highlight w:val="none"/>
          <w14:textFill>
            <w14:solidFill>
              <w14:schemeClr w14:val="tx1"/>
            </w14:solidFill>
          </w14:textFill>
        </w:rPr>
        <w:drawing>
          <wp:inline distT="0" distB="0" distL="0" distR="0">
            <wp:extent cx="1960245" cy="1558290"/>
            <wp:effectExtent l="0" t="0" r="0" b="0"/>
            <wp:docPr id="38" name="图片 38" descr="15840026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descr="1584002621(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1960245" cy="1558290"/>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24" w:name="_Toc32642"/>
      <w:bookmarkStart w:id="1025" w:name="_Toc15449"/>
      <w:bookmarkStart w:id="1026" w:name="_Toc44492658"/>
      <w:r>
        <w:rPr>
          <w:color w:val="000000" w:themeColor="text1"/>
          <w:sz w:val="24"/>
          <w:szCs w:val="24"/>
          <w:highlight w:val="none"/>
          <w14:textFill>
            <w14:solidFill>
              <w14:schemeClr w14:val="tx1"/>
            </w14:solidFill>
          </w14:textFill>
        </w:rPr>
        <w:t>3</w:t>
      </w:r>
      <w:r>
        <w:rPr>
          <w:rFonts w:hint="eastAsia"/>
          <w:color w:val="000000" w:themeColor="text1"/>
          <w:sz w:val="24"/>
          <w:szCs w:val="24"/>
          <w:highlight w:val="none"/>
          <w14:textFill>
            <w14:solidFill>
              <w14:schemeClr w14:val="tx1"/>
            </w14:solidFill>
          </w14:textFill>
        </w:rPr>
        <w:t>.6</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洗车槽</w:t>
      </w:r>
      <w:bookmarkEnd w:id="1024"/>
      <w:bookmarkEnd w:id="1025"/>
      <w:bookmarkEnd w:id="1026"/>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在施工场地通向外面的出口处，设置一个洗车槽，出去的施工车辆都必须通过洗车槽的清洗才能上路，避免施工车辆把泥土带出施工现场，造成扬尘污染。</w:t>
      </w:r>
    </w:p>
    <w:p>
      <w:pPr>
        <w:spacing w:line="360" w:lineRule="auto"/>
        <w:rPr>
          <w:rFonts w:ascii="仿宋_GB2312" w:hAnsi="等线" w:eastAsia="仿宋_GB2312"/>
          <w:color w:val="000000" w:themeColor="text1"/>
          <w:sz w:val="32"/>
          <w:szCs w:val="32"/>
          <w:highlight w:val="none"/>
          <w14:textFill>
            <w14:solidFill>
              <w14:schemeClr w14:val="tx1"/>
            </w14:solidFill>
          </w14:textFill>
        </w:rPr>
      </w:pPr>
      <w:r>
        <w:rPr>
          <w:rFonts w:ascii="仿宋_GB2312" w:hAnsi="等线" w:eastAsia="仿宋_GB2312"/>
          <w:color w:val="000000" w:themeColor="text1"/>
          <w:sz w:val="32"/>
          <w:szCs w:val="32"/>
          <w:highlight w:val="none"/>
          <w14:textFill>
            <w14:solidFill>
              <w14:schemeClr w14:val="tx1"/>
            </w14:solidFill>
          </w14:textFill>
        </w:rPr>
        <w:drawing>
          <wp:inline distT="0" distB="0" distL="0" distR="0">
            <wp:extent cx="2691765" cy="1931035"/>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2691765" cy="1931035"/>
                    </a:xfrm>
                    <a:prstGeom prst="rect">
                      <a:avLst/>
                    </a:prstGeom>
                    <a:noFill/>
                    <a:ln>
                      <a:noFill/>
                    </a:ln>
                  </pic:spPr>
                </pic:pic>
              </a:graphicData>
            </a:graphic>
          </wp:inline>
        </w:drawing>
      </w:r>
      <w:r>
        <w:rPr>
          <w:rFonts w:hint="eastAsia" w:ascii="仿宋_GB2312" w:hAnsi="等线" w:eastAsia="仿宋_GB2312"/>
          <w:color w:val="000000" w:themeColor="text1"/>
          <w:sz w:val="32"/>
          <w:szCs w:val="32"/>
          <w:highlight w:val="none"/>
          <w14:textFill>
            <w14:solidFill>
              <w14:schemeClr w14:val="tx1"/>
            </w14:solidFill>
          </w14:textFill>
        </w:rPr>
        <w:t xml:space="preserve"> </w:t>
      </w:r>
      <w:r>
        <w:rPr>
          <w:rFonts w:ascii="仿宋_GB2312" w:hAnsi="等线" w:eastAsia="仿宋_GB2312"/>
          <w:color w:val="000000" w:themeColor="text1"/>
          <w:sz w:val="32"/>
          <w:szCs w:val="32"/>
          <w:highlight w:val="none"/>
          <w14:textFill>
            <w14:solidFill>
              <w14:schemeClr w14:val="tx1"/>
            </w14:solidFill>
          </w14:textFill>
        </w:rPr>
        <w:drawing>
          <wp:inline distT="0" distB="0" distL="0" distR="0">
            <wp:extent cx="2385060" cy="1931035"/>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2385060" cy="1931035"/>
                    </a:xfrm>
                    <a:prstGeom prst="rect">
                      <a:avLst/>
                    </a:prstGeom>
                    <a:noFill/>
                    <a:ln>
                      <a:noFill/>
                    </a:ln>
                  </pic:spPr>
                </pic:pic>
              </a:graphicData>
            </a:graphic>
          </wp:inline>
        </w:drawing>
      </w:r>
    </w:p>
    <w:p>
      <w:pPr>
        <w:ind w:firstLine="500" w:firstLineChars="250"/>
        <w:rPr>
          <w:rFonts w:ascii="宋体" w:hAnsi="宋体"/>
          <w:color w:val="000000" w:themeColor="text1"/>
          <w:sz w:val="20"/>
          <w:highlight w:val="none"/>
          <w14:textFill>
            <w14:solidFill>
              <w14:schemeClr w14:val="tx1"/>
            </w14:solidFill>
          </w14:textFill>
        </w:rPr>
      </w:pPr>
      <w:r>
        <w:rPr>
          <w:rFonts w:hint="eastAsia" w:ascii="宋体" w:hAnsi="宋体"/>
          <w:color w:val="000000" w:themeColor="text1"/>
          <w:sz w:val="20"/>
          <w:highlight w:val="none"/>
          <w14:textFill>
            <w14:solidFill>
              <w14:schemeClr w14:val="tx1"/>
            </w14:solidFill>
          </w14:textFill>
        </w:rPr>
        <w:t xml:space="preserve">成品洗车槽（不喷水）       </w:t>
      </w:r>
      <w:r>
        <w:rPr>
          <w:rFonts w:ascii="宋体" w:hAnsi="宋体"/>
          <w:color w:val="000000" w:themeColor="text1"/>
          <w:sz w:val="20"/>
          <w:highlight w:val="none"/>
          <w14:textFill>
            <w14:solidFill>
              <w14:schemeClr w14:val="tx1"/>
            </w14:solidFill>
          </w14:textFill>
        </w:rPr>
        <w:t xml:space="preserve">             </w:t>
      </w:r>
      <w:r>
        <w:rPr>
          <w:rFonts w:hint="eastAsia" w:ascii="宋体" w:hAnsi="宋体"/>
          <w:color w:val="000000" w:themeColor="text1"/>
          <w:sz w:val="20"/>
          <w:highlight w:val="none"/>
          <w14:textFill>
            <w14:solidFill>
              <w14:schemeClr w14:val="tx1"/>
            </w14:solidFill>
          </w14:textFill>
        </w:rPr>
        <w:t xml:space="preserve">    </w:t>
      </w:r>
      <w:r>
        <w:rPr>
          <w:rFonts w:ascii="宋体" w:hAnsi="宋体"/>
          <w:color w:val="000000" w:themeColor="text1"/>
          <w:sz w:val="20"/>
          <w:highlight w:val="none"/>
          <w14:textFill>
            <w14:solidFill>
              <w14:schemeClr w14:val="tx1"/>
            </w14:solidFill>
          </w14:textFill>
        </w:rPr>
        <w:t xml:space="preserve"> </w:t>
      </w:r>
      <w:r>
        <w:rPr>
          <w:rFonts w:hint="eastAsia" w:ascii="宋体" w:hAnsi="宋体"/>
          <w:color w:val="000000" w:themeColor="text1"/>
          <w:sz w:val="20"/>
          <w:highlight w:val="none"/>
          <w14:textFill>
            <w14:solidFill>
              <w14:schemeClr w14:val="tx1"/>
            </w14:solidFill>
          </w14:textFill>
        </w:rPr>
        <w:t xml:space="preserve">成品洗车槽（喷水）  </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27" w:name="_Toc13213"/>
      <w:bookmarkStart w:id="1028" w:name="_Toc44492659"/>
      <w:bookmarkStart w:id="1029" w:name="_Toc30128"/>
      <w:r>
        <w:rPr>
          <w:color w:val="000000" w:themeColor="text1"/>
          <w:sz w:val="24"/>
          <w:szCs w:val="24"/>
          <w:highlight w:val="none"/>
          <w14:textFill>
            <w14:solidFill>
              <w14:schemeClr w14:val="tx1"/>
            </w14:solidFill>
          </w14:textFill>
        </w:rPr>
        <w:t>3</w:t>
      </w:r>
      <w:r>
        <w:rPr>
          <w:rFonts w:hint="eastAsia"/>
          <w:color w:val="000000" w:themeColor="text1"/>
          <w:sz w:val="24"/>
          <w:szCs w:val="24"/>
          <w:highlight w:val="none"/>
          <w14:textFill>
            <w14:solidFill>
              <w14:schemeClr w14:val="tx1"/>
            </w14:solidFill>
          </w14:textFill>
        </w:rPr>
        <w:t>.7</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喷淋降尘系统</w:t>
      </w:r>
      <w:bookmarkEnd w:id="1027"/>
      <w:bookmarkEnd w:id="1028"/>
      <w:bookmarkEnd w:id="1029"/>
    </w:p>
    <w:p>
      <w:pPr>
        <w:spacing w:line="360" w:lineRule="auto"/>
        <w:ind w:firstLine="480" w:firstLineChars="200"/>
        <w:rPr>
          <w:rFonts w:ascii="宋体" w:hAnsi="宋体"/>
          <w:color w:val="000000" w:themeColor="text1"/>
          <w:sz w:val="24"/>
          <w:highlight w:val="none"/>
          <w14:textFill>
            <w14:solidFill>
              <w14:schemeClr w14:val="tx1"/>
            </w14:solidFill>
          </w14:textFill>
        </w:rPr>
      </w:pPr>
      <w:r>
        <w:rPr>
          <w:rFonts w:hint="eastAsia" w:ascii="宋体" w:hAnsi="宋体"/>
          <w:color w:val="000000" w:themeColor="text1"/>
          <w:sz w:val="24"/>
          <w:highlight w:val="none"/>
          <w14:textFill>
            <w14:solidFill>
              <w14:schemeClr w14:val="tx1"/>
            </w14:solidFill>
          </w14:textFill>
        </w:rPr>
        <w:t>施工现场主要道路两侧设置能够有效降尘的喷淋系统；喷淋系统包括管道、喷雾头、加压水泵、定时器等，喷雾头宜每隔3M设置一个；喷淋系统应能将水有效雾化；喷淋降尘系统应符合当地部门的管理要求。</w:t>
      </w:r>
    </w:p>
    <w:p>
      <w:pPr>
        <w:spacing w:line="360" w:lineRule="auto"/>
        <w:jc w:val="center"/>
        <w:rPr>
          <w:rFonts w:ascii="宋体" w:hAnsi="宋体"/>
          <w:color w:val="000000" w:themeColor="text1"/>
          <w:sz w:val="24"/>
          <w:highlight w:val="none"/>
          <w14:textFill>
            <w14:solidFill>
              <w14:schemeClr w14:val="tx1"/>
            </w14:solidFill>
          </w14:textFill>
        </w:rPr>
      </w:pPr>
      <w:r>
        <w:rPr>
          <w:color w:val="000000" w:themeColor="text1"/>
          <w:highlight w:val="none"/>
          <w14:textFill>
            <w14:solidFill>
              <w14:schemeClr w14:val="tx1"/>
            </w14:solidFill>
          </w14:textFill>
        </w:rPr>
        <w:drawing>
          <wp:inline distT="0" distB="0" distL="0" distR="0">
            <wp:extent cx="2918460" cy="2026285"/>
            <wp:effectExtent l="0" t="0" r="0" b="0"/>
            <wp:docPr id="41" name="图片 41" descr="15177486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descr="1517748607(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2918460" cy="2026285"/>
                    </a:xfrm>
                    <a:prstGeom prst="rect">
                      <a:avLst/>
                    </a:prstGeom>
                    <a:noFill/>
                    <a:ln>
                      <a:noFill/>
                    </a:ln>
                  </pic:spPr>
                </pic:pic>
              </a:graphicData>
            </a:graphic>
          </wp:inline>
        </w:drawing>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1030" w:name="_Toc44492660"/>
      <w:bookmarkStart w:id="1031" w:name="_Toc6678"/>
      <w:bookmarkStart w:id="1032" w:name="_Toc17637"/>
      <w:r>
        <w:rPr>
          <w:rFonts w:hint="eastAsia"/>
          <w:color w:val="000000" w:themeColor="text1"/>
          <w:sz w:val="28"/>
          <w:szCs w:val="24"/>
          <w:highlight w:val="none"/>
          <w14:textFill>
            <w14:solidFill>
              <w14:schemeClr w14:val="tx1"/>
            </w14:solidFill>
          </w14:textFill>
        </w:rPr>
        <w:t>四、临建办公区及生活区</w:t>
      </w:r>
      <w:bookmarkEnd w:id="1030"/>
      <w:bookmarkEnd w:id="1031"/>
      <w:bookmarkEnd w:id="1032"/>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33" w:name="_Toc13134"/>
      <w:bookmarkStart w:id="1034" w:name="_Toc22334"/>
      <w:bookmarkStart w:id="1035" w:name="_Toc44492661"/>
      <w:r>
        <w:rPr>
          <w:rFonts w:hint="eastAsia"/>
          <w:color w:val="000000" w:themeColor="text1"/>
          <w:sz w:val="24"/>
          <w:szCs w:val="24"/>
          <w:highlight w:val="none"/>
          <w14:textFill>
            <w14:solidFill>
              <w14:schemeClr w14:val="tx1"/>
            </w14:solidFill>
          </w14:textFill>
        </w:rPr>
        <w:t>4.1</w:t>
      </w:r>
      <w:r>
        <w:rPr>
          <w:color w:val="000000" w:themeColor="text1"/>
          <w:sz w:val="24"/>
          <w:szCs w:val="24"/>
          <w:highlight w:val="none"/>
          <w14:textFill>
            <w14:solidFill>
              <w14:schemeClr w14:val="tx1"/>
            </w14:solidFill>
          </w14:textFill>
        </w:rPr>
        <w:t xml:space="preserve"> 办公区</w:t>
      </w:r>
      <w:r>
        <w:rPr>
          <w:rFonts w:hint="eastAsia"/>
          <w:color w:val="000000" w:themeColor="text1"/>
          <w:sz w:val="24"/>
          <w:szCs w:val="24"/>
          <w:highlight w:val="none"/>
          <w14:textFill>
            <w14:solidFill>
              <w14:schemeClr w14:val="tx1"/>
            </w14:solidFill>
          </w14:textFill>
        </w:rPr>
        <w:t>场地布置基本要求</w:t>
      </w:r>
      <w:bookmarkEnd w:id="1033"/>
      <w:bookmarkEnd w:id="1034"/>
      <w:bookmarkEnd w:id="1035"/>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办公区临建设施应统一规划，并编制临建方案。方案应包括大门、围挡、办公用房、场地道路硬化、绿化等内容。</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办公区总体布局应合理，并满足采光通风要求；场内排水系统完善。</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办公区应优先采用模块化箱房，根据现场条件组合形成各种功能间满足现场办公的需要。模块化箱房室内电气线路应暗装，屋顶应设置保温隔热材料。</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办公区消防通道应硬化且满足消防要求，其他区域应进行绿化或铺设植草砖（透水砖）、办公区集中绿化率不应低于10%。</w:t>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36" w:name="_Toc9019"/>
      <w:bookmarkStart w:id="1037" w:name="_Toc44492662"/>
      <w:bookmarkStart w:id="1038" w:name="_Toc10982"/>
      <w:r>
        <w:rPr>
          <w:rFonts w:hint="eastAsia"/>
          <w:color w:val="000000" w:themeColor="text1"/>
          <w:sz w:val="24"/>
          <w:szCs w:val="24"/>
          <w:highlight w:val="none"/>
          <w14:textFill>
            <w14:solidFill>
              <w14:schemeClr w14:val="tx1"/>
            </w14:solidFill>
          </w14:textFill>
        </w:rPr>
        <w:t>4.2</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办公区用房</w:t>
      </w:r>
      <w:bookmarkEnd w:id="1036"/>
      <w:bookmarkEnd w:id="1037"/>
      <w:bookmarkEnd w:id="1038"/>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（1）办公区用房应优先采用模块化箱房。生产厂家应提供产品的设计说明及使用说明，应满足如下要求：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①材料应满足国标的要求。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②应满足抗风抗震及荷载要求。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③应满足建筑防火要求。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④应满足建筑防雷要求。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⑤应满足节能环保要求。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效果图如下：</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399665" cy="1799590"/>
            <wp:effectExtent l="0" t="0" r="0" b="0"/>
            <wp:docPr id="42" name="图片 42" descr="整体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整体效果图"/>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2414270" cy="1799590"/>
            <wp:effectExtent l="0" t="0" r="0" b="0"/>
            <wp:docPr id="43" name="图片 43" descr="4a50110adb9e9c200d179f9a38117b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4a50110adb9e9c200d179f9a38117bc"/>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2414270" cy="1799590"/>
                    </a:xfrm>
                    <a:prstGeom prst="rect">
                      <a:avLst/>
                    </a:prstGeom>
                    <a:noFill/>
                    <a:ln>
                      <a:noFill/>
                    </a:ln>
                  </pic:spPr>
                </pic:pic>
              </a:graphicData>
            </a:graphic>
          </wp:inline>
        </w:drawing>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399665" cy="1806575"/>
            <wp:effectExtent l="0" t="0" r="0" b="0"/>
            <wp:docPr id="44" name="图片 44" descr="中庭效果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中庭效果图"/>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2399665" cy="1806575"/>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2399665" cy="1799590"/>
            <wp:effectExtent l="0" t="0" r="0" b="0"/>
            <wp:docPr id="45" name="图片 45" descr="中庭"/>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中庭"/>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399665" cy="1799590"/>
            <wp:effectExtent l="0" t="0" r="0" b="0"/>
            <wp:docPr id="46" name="图片 46" descr="大会议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大会议室"/>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r>
        <w:rPr>
          <w:rFonts w:hint="eastAsia"/>
          <w:color w:val="000000" w:themeColor="text1"/>
          <w:sz w:val="24"/>
          <w:szCs w:val="21"/>
          <w:highlight w:val="none"/>
          <w14:textFill>
            <w14:solidFill>
              <w14:schemeClr w14:val="tx1"/>
            </w14:solidFill>
          </w14:textFill>
        </w:rPr>
        <w:t xml:space="preserve"> </w:t>
      </w:r>
      <w:r>
        <w:rPr>
          <w:color w:val="000000" w:themeColor="text1"/>
          <w:sz w:val="24"/>
          <w:szCs w:val="21"/>
          <w:highlight w:val="none"/>
          <w14:textFill>
            <w14:solidFill>
              <w14:schemeClr w14:val="tx1"/>
            </w14:solidFill>
          </w14:textFill>
        </w:rPr>
        <w:drawing>
          <wp:inline distT="0" distB="0" distL="0" distR="0">
            <wp:extent cx="2399665" cy="1799590"/>
            <wp:effectExtent l="0" t="0" r="0" b="0"/>
            <wp:docPr id="47" name="图片 47" descr="洗手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洗手台"/>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2399665" cy="179959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（2）模块化箱房整体说明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①以标准的模块化箱体为单元，对箱体单元进行空间组合，可通过拆卸单元墙体形成不同大小的空间。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②箱体包括标准箱、楼梯箱、卫生间箱、走道箱等基本单元。</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③基本单元的焊接、油漆、内装、管线均应在工厂完成。</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④走道应封闭。</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⑤电气线路应暗装。</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（3）标准箱</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①箱体以6m（长）*3m（宽）*3m（高）为基本尺寸，根据需求可适当调整，但室内净高应不小于2.5m。</w:t>
      </w:r>
    </w:p>
    <w:p>
      <w:pPr>
        <w:spacing w:line="360" w:lineRule="auto"/>
        <w:ind w:firstLine="480" w:firstLineChars="200"/>
        <w:jc w:val="left"/>
        <w:rPr>
          <w:i/>
          <w:color w:val="000000" w:themeColor="text1"/>
          <w:sz w:val="24"/>
          <w:szCs w:val="21"/>
          <w:highlight w:val="none"/>
          <w:u w:val="single"/>
          <w14:textFill>
            <w14:solidFill>
              <w14:schemeClr w14:val="tx1"/>
            </w14:solidFill>
          </w14:textFill>
        </w:rPr>
      </w:pPr>
      <w:r>
        <w:rPr>
          <w:rFonts w:hint="eastAsia"/>
          <w:color w:val="000000" w:themeColor="text1"/>
          <w:sz w:val="24"/>
          <w:szCs w:val="21"/>
          <w:highlight w:val="none"/>
          <w14:textFill>
            <w14:solidFill>
              <w14:schemeClr w14:val="tx1"/>
            </w14:solidFill>
          </w14:textFill>
        </w:rPr>
        <w:t>②采用塑钢窗或铝合金窗，铝型材厚度应不低于1.2mm，采光面积应不小于1.6m</w:t>
      </w:r>
      <w:r>
        <w:rPr>
          <w:rFonts w:hint="eastAsia"/>
          <w:color w:val="000000" w:themeColor="text1"/>
          <w:sz w:val="24"/>
          <w:szCs w:val="21"/>
          <w:highlight w:val="none"/>
          <w:vertAlign w:val="superscript"/>
          <w14:textFill>
            <w14:solidFill>
              <w14:schemeClr w14:val="tx1"/>
            </w14:solidFill>
          </w14:textFill>
        </w:rPr>
        <w:t>2</w:t>
      </w:r>
      <w:r>
        <w:rPr>
          <w:rFonts w:hint="eastAsia"/>
          <w:color w:val="000000" w:themeColor="text1"/>
          <w:sz w:val="24"/>
          <w:szCs w:val="21"/>
          <w:highlight w:val="none"/>
          <w14:textFill>
            <w14:solidFill>
              <w14:schemeClr w14:val="tx1"/>
            </w14:solidFill>
          </w14:textFill>
        </w:rPr>
        <w:t>，通风面积应不小于0.8 m</w:t>
      </w:r>
      <w:r>
        <w:rPr>
          <w:rFonts w:hint="eastAsia"/>
          <w:color w:val="000000" w:themeColor="text1"/>
          <w:sz w:val="24"/>
          <w:szCs w:val="21"/>
          <w:highlight w:val="none"/>
          <w:vertAlign w:val="superscript"/>
          <w14:textFill>
            <w14:solidFill>
              <w14:schemeClr w14:val="tx1"/>
            </w14:solidFill>
          </w14:textFill>
        </w:rPr>
        <w:t>2</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③钢制平开门的宽度应不小于850mm，高度应不小于2000mm。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④主体结构应满足承载力的要求，且厚度应不小于3mm；其他结构材料应选用国际型材，厚度应不小于1.5mm；钢材性能不低于Q235。</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⑤墙板用彩钢金属夹芯板，芯材为玻璃棉，总厚度应不小于50mm，彩钢板厚度应不小于0.4mm，玻璃棉容重应不小于56kg/m</w:t>
      </w:r>
      <w:r>
        <w:rPr>
          <w:rFonts w:hint="eastAsia"/>
          <w:color w:val="000000" w:themeColor="text1"/>
          <w:sz w:val="24"/>
          <w:szCs w:val="21"/>
          <w:highlight w:val="none"/>
          <w:vertAlign w:val="superscript"/>
          <w14:textFill>
            <w14:solidFill>
              <w14:schemeClr w14:val="tx1"/>
            </w14:solidFill>
          </w14:textFill>
        </w:rPr>
        <w:t>3</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⑥地板应使用不小于15mm水泥纤维板，面层铺设pvc地板时厚度应不小于1.5mm。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⑦屋顶保温厚度应不小于50mm，玻璃棉容重应不小于14kg/m</w:t>
      </w:r>
      <w:r>
        <w:rPr>
          <w:rFonts w:hint="eastAsia"/>
          <w:color w:val="000000" w:themeColor="text1"/>
          <w:sz w:val="24"/>
          <w:szCs w:val="21"/>
          <w:highlight w:val="none"/>
          <w:vertAlign w:val="superscript"/>
          <w14:textFill>
            <w14:solidFill>
              <w14:schemeClr w14:val="tx1"/>
            </w14:solidFill>
          </w14:textFill>
        </w:rPr>
        <w:t>3</w:t>
      </w:r>
      <w:r>
        <w:rPr>
          <w:rFonts w:hint="eastAsia"/>
          <w:color w:val="000000" w:themeColor="text1"/>
          <w:sz w:val="24"/>
          <w:szCs w:val="21"/>
          <w:highlight w:val="none"/>
          <w14:textFill>
            <w14:solidFill>
              <w14:schemeClr w14:val="tx1"/>
            </w14:solidFill>
          </w14:textFill>
        </w:rPr>
        <w:t>。</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260600" cy="1836420"/>
            <wp:effectExtent l="0" t="0" r="0" b="0"/>
            <wp:docPr id="48" name="图片 48" descr="QQ图片20200318150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descr="QQ图片2020031815075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2260600" cy="183642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（4）卫生间箱</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①外形尺寸应与标准箱一致。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②隔断高度应不低于1.8m。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③地面应使用防滑地砖或防滑pvc。</w:t>
      </w:r>
    </w:p>
    <w:p>
      <w:pPr>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3101340" cy="2136140"/>
            <wp:effectExtent l="0" t="0" r="0" b="0"/>
            <wp:docPr id="49" name="图片 49" descr="7E@CD9$_MV78CJ}CCV0P21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7E@CD9$_MV78CJ}CCV0P21X"/>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3101340" cy="2136140"/>
                    </a:xfrm>
                    <a:prstGeom prst="rect">
                      <a:avLst/>
                    </a:prstGeom>
                    <a:noFill/>
                    <a:ln>
                      <a:noFill/>
                    </a:ln>
                  </pic:spPr>
                </pic:pic>
              </a:graphicData>
            </a:graphic>
          </wp:inline>
        </w:drawing>
      </w:r>
      <w:r>
        <w:rPr>
          <w:color w:val="000000" w:themeColor="text1"/>
          <w:highlight w:val="none"/>
          <w14:textFill>
            <w14:solidFill>
              <w14:schemeClr w14:val="tx1"/>
            </w14:solidFill>
          </w14:textFill>
        </w:rPr>
        <w:t xml:space="preserve"> </w:t>
      </w:r>
      <w:r>
        <w:rPr>
          <w:rFonts w:hint="eastAsia"/>
          <w:color w:val="000000" w:themeColor="text1"/>
          <w:highlight w:val="none"/>
          <w14:textFill>
            <w14:solidFill>
              <w14:schemeClr w14:val="tx1"/>
            </w14:solidFill>
          </w14:textFill>
        </w:rPr>
        <w:t xml:space="preserve">    </w:t>
      </w:r>
      <w:r>
        <w:rPr>
          <w:rFonts w:ascii="宋体" w:hAnsi="宋体" w:cs="宋体"/>
          <w:color w:val="000000" w:themeColor="text1"/>
          <w:kern w:val="0"/>
          <w:sz w:val="24"/>
          <w:highlight w:val="none"/>
          <w14:textFill>
            <w14:solidFill>
              <w14:schemeClr w14:val="tx1"/>
            </w14:solidFill>
          </w14:textFill>
        </w:rPr>
        <w:drawing>
          <wp:inline distT="0" distB="0" distL="0" distR="0">
            <wp:extent cx="1448435" cy="2194560"/>
            <wp:effectExtent l="0" t="0" r="0" b="0"/>
            <wp:docPr id="50" name="图片 50" descr="Q4TQYEF8{5@15`Y92A]A~X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Q4TQYEF8{5@15`Y92A]A~XJ"/>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1448435" cy="219456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（5）楼梯间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①外形尺寸应与标准箱一致。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②楼梯梯段宽度不小于1.2m，踏步宽度不小于250mm，踏步高度不大于165mm。</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3021330" cy="2282190"/>
            <wp:effectExtent l="0" t="0" r="0" b="0"/>
            <wp:docPr id="51" name="图片 51" descr="W}WBZ@@B}7RVIJ%7P%)JO$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descr="W}WBZ@@B}7RVIJ%7P%)JO$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3021330" cy="228219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（6）走道箱</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①以6m（长）*1.8m（宽）*3m（高）为基本尺寸，根据需求可适当调整。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②外侧应封闭，宜采用玻璃幕墙。</w:t>
      </w:r>
    </w:p>
    <w:p>
      <w:pPr>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238375" cy="1609090"/>
            <wp:effectExtent l="0" t="0" r="0" b="0"/>
            <wp:docPr id="52" name="图片 52" descr="KY(_P55Y]ILUFT_55N[TFX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descr="KY(_P55Y]ILUFT_55N[TFX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2238375" cy="1609090"/>
                    </a:xfrm>
                    <a:prstGeom prst="rect">
                      <a:avLst/>
                    </a:prstGeom>
                    <a:noFill/>
                    <a:ln>
                      <a:noFill/>
                    </a:ln>
                  </pic:spPr>
                </pic:pic>
              </a:graphicData>
            </a:graphic>
          </wp:inline>
        </w:drawing>
      </w:r>
      <w:r>
        <w:rPr>
          <w:color w:val="000000" w:themeColor="text1"/>
          <w:highlight w:val="none"/>
          <w14:textFill>
            <w14:solidFill>
              <w14:schemeClr w14:val="tx1"/>
            </w14:solidFill>
          </w14:textFill>
        </w:rPr>
        <w:t xml:space="preserve"> </w:t>
      </w:r>
      <w:r>
        <w:rPr>
          <w:rFonts w:ascii="宋体" w:hAnsi="宋体" w:cs="宋体"/>
          <w:color w:val="000000" w:themeColor="text1"/>
          <w:kern w:val="0"/>
          <w:sz w:val="24"/>
          <w:highlight w:val="none"/>
          <w14:textFill>
            <w14:solidFill>
              <w14:schemeClr w14:val="tx1"/>
            </w14:solidFill>
          </w14:textFill>
        </w:rPr>
        <w:drawing>
          <wp:inline distT="0" distB="0" distL="0" distR="0">
            <wp:extent cx="2472690" cy="1660525"/>
            <wp:effectExtent l="0" t="0" r="0" b="0"/>
            <wp:docPr id="53" name="图片 53" descr="7C%_~M8}H~W75{P%$C185~J"/>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7C%_~M8}H~W75{P%$C185~J"/>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472690" cy="1660525"/>
                    </a:xfrm>
                    <a:prstGeom prst="rect">
                      <a:avLst/>
                    </a:prstGeom>
                    <a:noFill/>
                    <a:ln>
                      <a:noFill/>
                    </a:ln>
                  </pic:spPr>
                </pic:pic>
              </a:graphicData>
            </a:graphic>
          </wp:inline>
        </w:drawing>
      </w:r>
    </w:p>
    <w:p>
      <w:pPr>
        <w:widowControl/>
        <w:jc w:val="left"/>
        <w:rPr>
          <w:rFonts w:ascii="宋体" w:hAnsi="宋体" w:cs="宋体"/>
          <w:color w:val="000000" w:themeColor="text1"/>
          <w:kern w:val="0"/>
          <w:sz w:val="24"/>
          <w:highlight w:val="none"/>
          <w14:textFill>
            <w14:solidFill>
              <w14:schemeClr w14:val="tx1"/>
            </w14:solidFill>
          </w14:textFill>
        </w:rPr>
      </w:pP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（7）办公模块组合应用</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①由一个标准箱长度加一个走道箱宽度构成单栋箱房的标准跨度（跨度约为7.8m）。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②以3m为一个标准间，由若干个箱体单元组合构成长度尺寸，且总长度应不大于60m。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③长度方向应每不大于22m设置一部楼梯，且满足疏散距离要求。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④走道宽度应不小于1.8m，走道外侧宜封闭。</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⑤层数应不超过3层。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⑥可根据需要增设坡屋面。</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4659630" cy="4184015"/>
            <wp:effectExtent l="0" t="0" r="0" b="0"/>
            <wp:docPr id="54" name="图片 54" descr="Y1H{4J{B$_EZ6KQ08LDBZ7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descr="Y1H{4J{B$_EZ6KQ08LDBZ7O"/>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4659630" cy="4184015"/>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（8）基础</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①断面为400mm*300mm的条形基础，混凝土标号不应低于C20。</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②地基承载力特征值不应小于100kPa。当遇到松散填土等不良地质条件时，应根据地基承载力要求进行地基处理或加固。</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③箱体与基础、箱体与箱体之间应进行有效连接。</w:t>
      </w:r>
    </w:p>
    <w:p>
      <w:pPr>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333625" cy="1777365"/>
            <wp:effectExtent l="0" t="0" r="0" b="0"/>
            <wp:docPr id="55" name="图片 55" descr="XU10C2]9{0HKS7$R645E~J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descr="XU10C2]9{0HKS7$R645E~J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2333625" cy="1777365"/>
                    </a:xfrm>
                    <a:prstGeom prst="rect">
                      <a:avLst/>
                    </a:prstGeom>
                    <a:noFill/>
                    <a:ln>
                      <a:noFill/>
                    </a:ln>
                  </pic:spPr>
                </pic:pic>
              </a:graphicData>
            </a:graphic>
          </wp:inline>
        </w:drawing>
      </w:r>
      <w:r>
        <w:rPr>
          <w:color w:val="000000" w:themeColor="text1"/>
          <w:highlight w:val="none"/>
          <w14:textFill>
            <w14:solidFill>
              <w14:schemeClr w14:val="tx1"/>
            </w14:solidFill>
          </w14:textFill>
        </w:rPr>
        <w:t xml:space="preserve"> </w:t>
      </w:r>
      <w:r>
        <w:rPr>
          <w:rFonts w:ascii="宋体" w:hAnsi="宋体" w:cs="宋体"/>
          <w:color w:val="000000" w:themeColor="text1"/>
          <w:kern w:val="0"/>
          <w:sz w:val="24"/>
          <w:highlight w:val="none"/>
          <w14:textFill>
            <w14:solidFill>
              <w14:schemeClr w14:val="tx1"/>
            </w14:solidFill>
          </w14:textFill>
        </w:rPr>
        <w:drawing>
          <wp:inline distT="0" distB="0" distL="0" distR="0">
            <wp:extent cx="2319020" cy="1755775"/>
            <wp:effectExtent l="0" t="0" r="0" b="0"/>
            <wp:docPr id="56" name="图片 56" descr="N85N09OA6G81E2]YA~2QMU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N85N09OA6G81E2]YA~2QMUC"/>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2319020" cy="175577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39" w:name="_Toc44492663"/>
      <w:bookmarkStart w:id="1040" w:name="_Toc14032"/>
      <w:bookmarkStart w:id="1041" w:name="_Toc30037"/>
      <w:r>
        <w:rPr>
          <w:rFonts w:hint="eastAsia"/>
          <w:color w:val="000000" w:themeColor="text1"/>
          <w:sz w:val="24"/>
          <w:szCs w:val="24"/>
          <w:highlight w:val="none"/>
          <w14:textFill>
            <w14:solidFill>
              <w14:schemeClr w14:val="tx1"/>
            </w14:solidFill>
          </w14:textFill>
        </w:rPr>
        <w:t>4.3</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生活区场地布置基本要求</w:t>
      </w:r>
      <w:bookmarkEnd w:id="1039"/>
      <w:bookmarkEnd w:id="1040"/>
      <w:bookmarkEnd w:id="1041"/>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生活区应统筹安排，合理布局，满足安全、消防、卫生防疫、环境保护、防汛、防洪等要求。整体规划应因地制宜，节约用地。</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生活区与施工作业区、办公区应划分清晰。</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生活区所有临时板房应采用A级防火等级板材，板材厚度及刚度应满足要求；临时板房在设计中应考虑台风。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生活区板房栋与栋之间防火间距不小于3m，消防通道及水源、灭火器材满足要求。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生活区室外可适当进行绿化或铺设植草砖（透水砖）、彩砖等，非绿化区域和道路应进行硬化，不得有裸露土体。</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生活区消防通道应硬化且布置需满足消防要求。</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4125595" cy="2362835"/>
            <wp:effectExtent l="0" t="0" r="0" b="0"/>
            <wp:docPr id="57" name="图片 57" descr="T0LVD2LC(3_J2IR9L0LI`N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0LVD2LC(3_J2IR9L0LI`N4"/>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4125595" cy="236283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42" w:name="_Toc23431"/>
      <w:bookmarkStart w:id="1043" w:name="_Toc18801"/>
      <w:bookmarkStart w:id="1044" w:name="_Toc44492664"/>
      <w:r>
        <w:rPr>
          <w:rFonts w:hint="eastAsia"/>
          <w:color w:val="000000" w:themeColor="text1"/>
          <w:sz w:val="24"/>
          <w:szCs w:val="24"/>
          <w:highlight w:val="none"/>
          <w14:textFill>
            <w14:solidFill>
              <w14:schemeClr w14:val="tx1"/>
            </w14:solidFill>
          </w14:textFill>
        </w:rPr>
        <w:t>4.4</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生活区用房</w:t>
      </w:r>
      <w:bookmarkEnd w:id="1042"/>
      <w:bookmarkEnd w:id="1043"/>
      <w:bookmarkEnd w:id="1044"/>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（1）生活区用房可根据现场情况选用以下三种类型：</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①模块化箱房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②拆装式四坡板房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③拆装式双坡板房</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574925" cy="1799590"/>
            <wp:effectExtent l="0" t="0" r="0" b="0"/>
            <wp:docPr id="58" name="图片 58" descr="EG8WI6DVUOMC01UX(R4LGM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EG8WI6DVUOMC01UX(R4LGMN"/>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2574925" cy="1799590"/>
                    </a:xfrm>
                    <a:prstGeom prst="rect">
                      <a:avLst/>
                    </a:prstGeom>
                    <a:noFill/>
                    <a:ln>
                      <a:noFill/>
                    </a:ln>
                  </pic:spPr>
                </pic:pic>
              </a:graphicData>
            </a:graphic>
          </wp:inline>
        </w:drawing>
      </w:r>
      <w:r>
        <w:rPr>
          <w:rFonts w:ascii="宋体" w:hAnsi="宋体" w:cs="宋体"/>
          <w:color w:val="000000" w:themeColor="text1"/>
          <w:kern w:val="0"/>
          <w:sz w:val="24"/>
          <w:highlight w:val="none"/>
          <w14:textFill>
            <w14:solidFill>
              <w14:schemeClr w14:val="tx1"/>
            </w14:solidFill>
          </w14:textFill>
        </w:rPr>
        <w:drawing>
          <wp:inline distT="0" distB="0" distL="0" distR="0">
            <wp:extent cx="2538095" cy="1755775"/>
            <wp:effectExtent l="0" t="0" r="0" b="0"/>
            <wp:docPr id="59" name="图片 59" descr="23KDGPCHX8~YWB2401955I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descr="23KDGPCHX8~YWB2401955IY"/>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2538095" cy="1755775"/>
                    </a:xfrm>
                    <a:prstGeom prst="rect">
                      <a:avLst/>
                    </a:prstGeom>
                    <a:noFill/>
                    <a:ln>
                      <a:noFill/>
                    </a:ln>
                  </pic:spPr>
                </pic:pic>
              </a:graphicData>
            </a:graphic>
          </wp:inline>
        </w:drawing>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538095" cy="1638300"/>
            <wp:effectExtent l="0" t="0" r="0" b="0"/>
            <wp:docPr id="60" name="图片 60" descr="JZW5Y5AW$HX7@9KDV$]]BL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descr="JZW5Y5AW$HX7@9KDV$]]BL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2538095" cy="163830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（2）生活区用房应满足以下基本要求：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①材料应满足国标的要求。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②应满足抗风抗震及荷载要求。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③应满足建筑防火疏散的要求。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④满足节能环保要求。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（3）模块化箱房标准要求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①模块单元及组合参考办公箱房的相关说明。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②层数不得超过2层。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（4）拆装式四坡板房标准要求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整体说明：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①以1.15m为设计基数，以3*1.15m为标准开间，以5*1.15m和6*1.15m为标准进深进行组合。</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②主要结构构件采用方钢管和H型钢；围护结构采用彩钢夹芯板；楼面采用水泥纤维板。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③屋面应采用四面坡，有组织排水。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④层数应不超过2层。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设计要求：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①跨度宜选用5*1.15m和6*1.15m两种规格。</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②以3*1.15m=3.45m为一个标准间，由若干个标准间排列形成长度尺寸，总长度应不大于60m。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③单层高度宜不大于3m，两层高度宜不大于6m。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④长度方向应不大于22m设置一部楼梯，宜满足疏散距离要求。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⑤走道宽度应不小于1.2m。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⑥屋面排水坡道宜不小于30%。</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5303520" cy="4908550"/>
            <wp:effectExtent l="0" t="0" r="0" b="0"/>
            <wp:docPr id="61" name="图片 61" descr="1~3U{H%_0IJSDE2QG4]6VO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descr="1~3U{H%_0IJSDE2QG4]6VOL"/>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303520" cy="490855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材料要求：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①承重结构型材宜选用H型钢、方钢管和C型钢等国际材料，其性能应不低于Q235。</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②墙板和屋面瓦宜采用彩钢金属夹芯板，彩钢板厚度应不小于0.3mm，芯材为玻璃棉，容重应不低于48kg/m</w:t>
      </w:r>
      <w:r>
        <w:rPr>
          <w:rFonts w:hint="eastAsia"/>
          <w:color w:val="000000" w:themeColor="text1"/>
          <w:sz w:val="24"/>
          <w:szCs w:val="21"/>
          <w:highlight w:val="none"/>
          <w:vertAlign w:val="superscript"/>
          <w14:textFill>
            <w14:solidFill>
              <w14:schemeClr w14:val="tx1"/>
            </w14:solidFill>
          </w14:textFill>
        </w:rPr>
        <w:t>3</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③楼面板应采用不小于15mm的水泥纤维板。装饰面层宜选用PVC底板或复合地板等轻质材料。</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④铝合金推拉窗的型材壁厚不低于1.2mm，采光面积不小于1.6m</w:t>
      </w:r>
      <w:r>
        <w:rPr>
          <w:rFonts w:hint="eastAsia"/>
          <w:color w:val="000000" w:themeColor="text1"/>
          <w:sz w:val="24"/>
          <w:szCs w:val="21"/>
          <w:highlight w:val="none"/>
          <w:vertAlign w:val="superscript"/>
          <w14:textFill>
            <w14:solidFill>
              <w14:schemeClr w14:val="tx1"/>
            </w14:solidFill>
          </w14:textFill>
        </w:rPr>
        <w:t>2</w:t>
      </w:r>
      <w:r>
        <w:rPr>
          <w:rFonts w:hint="eastAsia"/>
          <w:color w:val="000000" w:themeColor="text1"/>
          <w:sz w:val="24"/>
          <w:szCs w:val="21"/>
          <w:highlight w:val="none"/>
          <w14:textFill>
            <w14:solidFill>
              <w14:schemeClr w14:val="tx1"/>
            </w14:solidFill>
          </w14:textFill>
        </w:rPr>
        <w:t>，通风面积不小于0.8m</w:t>
      </w:r>
      <w:r>
        <w:rPr>
          <w:rFonts w:hint="eastAsia"/>
          <w:color w:val="000000" w:themeColor="text1"/>
          <w:sz w:val="24"/>
          <w:szCs w:val="21"/>
          <w:highlight w:val="none"/>
          <w:vertAlign w:val="superscript"/>
          <w14:textFill>
            <w14:solidFill>
              <w14:schemeClr w14:val="tx1"/>
            </w14:solidFill>
          </w14:textFill>
        </w:rPr>
        <w:t>2</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⑤地面基层应采用不低于C20混凝土，且厚度应不小于100mm，装饰面层宜选用地砖。</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4923155" cy="4110990"/>
            <wp:effectExtent l="0" t="0" r="0" b="0"/>
            <wp:docPr id="62" name="图片 62" descr="_8$2JUYLELZ%54RFC_$_P9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descr="_8$2JUYLELZ%54RFC_$_P9Q"/>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4923155" cy="411099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基础要求：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①采用断面为400mm*400mm的条形基础，混凝土标号不低于C20。</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②地基承载力特征值不应小于100kPa。当遇到松散填土等不良地质条件时，应根据地基承载力要求进行地基处理或加固。</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③立柱与基础采用不小于M12的膨胀螺栓连接。</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主要节点：</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①墙板包裹在立柱外侧，与立柱采用M5.5*65自攻钉连接。</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②屋面瓦与檩条用M5*80自攻钉连接，与檩条连接的波峰处应有1颗自攻钉。</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③楼板与檩条用M5*30自攻钉连接，自攻钉间距不大于300mm。</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5113020" cy="4630420"/>
            <wp:effectExtent l="0" t="0" r="0" b="0"/>
            <wp:docPr id="63" name="图片 63" descr="4ZKG(X)~MT24[WG}TEHHB7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descr="4ZKG(X)~MT24[WG}TEHHB7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113020" cy="463042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（5）拆装式双坡板房标准要求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整体说明：</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①以1.82m为设计基数，以2*1.82m为标准开间，以3*1.82m和4*1.82m为标准进深进行组合。</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②梁、柱结构应采用冷弯薄壁型钢；围护结构采用彩钢夹芯板；楼面采用水泥纤维板。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③屋面应采用双面坡自由排水。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④板房两端头宜设置封闭楼梯间。</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⑤走道宽度应不小于1.2m。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⑥层数应不超过2层。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设计要求：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①由3*1.82m和4*1.82m两种跨度。</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②以3.64m为一个标准间形成长度尺寸，总长度应不大于60m。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③单层高度应不小于2.85m，两层高度应不小于5.7m。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④长度方向应不大于22m设置一部楼梯，宜满足疏散距离要求。楼梯梯段宽度不小于1.2m，踏步宽度不小于250mm，踏步高度不大于165mm。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⑤走道宽度应不小于1.2m。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⑥正立面及山墙面斜拉杆应设置在墙板内侧。</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⑦屋面应采用双坡屋面，坡道不小于20%，自由排水。</w:t>
      </w:r>
    </w:p>
    <w:p>
      <w:pP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1784985" cy="1514475"/>
            <wp:effectExtent l="0" t="0" r="0" b="0"/>
            <wp:docPr id="64" name="图片 64" descr="MHIVJN7S1%H1%YIJGFIZ$E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descr="MHIVJN7S1%H1%YIJGFIZ$EU"/>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1784985" cy="1514475"/>
                    </a:xfrm>
                    <a:prstGeom prst="rect">
                      <a:avLst/>
                    </a:prstGeom>
                    <a:noFill/>
                    <a:ln>
                      <a:noFill/>
                    </a:ln>
                  </pic:spPr>
                </pic:pic>
              </a:graphicData>
            </a:graphic>
          </wp:inline>
        </w:drawing>
      </w:r>
      <w:r>
        <w:rPr>
          <w:color w:val="000000" w:themeColor="text1"/>
          <w:highlight w:val="none"/>
          <w14:textFill>
            <w14:solidFill>
              <w14:schemeClr w14:val="tx1"/>
            </w14:solidFill>
          </w14:textFill>
        </w:rPr>
        <w:t xml:space="preserve"> </w:t>
      </w:r>
      <w:r>
        <w:rPr>
          <w:rFonts w:ascii="宋体" w:hAnsi="宋体" w:cs="宋体"/>
          <w:color w:val="000000" w:themeColor="text1"/>
          <w:kern w:val="0"/>
          <w:sz w:val="24"/>
          <w:highlight w:val="none"/>
          <w14:textFill>
            <w14:solidFill>
              <w14:schemeClr w14:val="tx1"/>
            </w14:solidFill>
          </w14:textFill>
        </w:rPr>
        <w:drawing>
          <wp:inline distT="0" distB="0" distL="0" distR="0">
            <wp:extent cx="3101340" cy="1426210"/>
            <wp:effectExtent l="0" t="0" r="0" b="0"/>
            <wp:docPr id="65" name="图片 65" descr="9N_Z$LUNBP%{HFJCR8K5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descr="9N_Z$LUNBP%{HFJCR8K55(0"/>
                    <pic:cNvPicPr>
                      <a:picLocks noChangeAspect="1" noChangeArrowheads="1"/>
                    </pic:cNvPicPr>
                  </pic:nvPicPr>
                  <pic:blipFill>
                    <a:blip r:embed="rId81">
                      <a:extLst>
                        <a:ext uri="{28A0092B-C50C-407E-A947-70E740481C1C}">
                          <a14:useLocalDpi xmlns:a14="http://schemas.microsoft.com/office/drawing/2010/main" val="0"/>
                        </a:ext>
                      </a:extLst>
                    </a:blip>
                    <a:srcRect b="1315"/>
                    <a:stretch>
                      <a:fillRect/>
                    </a:stretch>
                  </pic:blipFill>
                  <pic:spPr>
                    <a:xfrm>
                      <a:off x="0" y="0"/>
                      <a:ext cx="3101340" cy="142621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主要材料：</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①承重结构型材采用冷弯C80*40薄壁型钢，厚度应不小于1.9mm。立柱采用双拼C型钢，屋架用三角形桁架，楼面梁采用平行弦桁架。</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②墙板和屋面瓦采用彩钢金属夹芯板，彩钢板厚度应不小于0.3mm，芯材为玻璃棉，容重应不低于48kg/m</w:t>
      </w:r>
      <w:r>
        <w:rPr>
          <w:rFonts w:hint="eastAsia"/>
          <w:color w:val="000000" w:themeColor="text1"/>
          <w:sz w:val="24"/>
          <w:szCs w:val="21"/>
          <w:highlight w:val="none"/>
          <w:vertAlign w:val="superscript"/>
          <w14:textFill>
            <w14:solidFill>
              <w14:schemeClr w14:val="tx1"/>
            </w14:solidFill>
          </w14:textFill>
        </w:rPr>
        <w:t>3</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③楼面板应采用不小于15mm的水泥纤维板。</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④采用铝合金推拉窗时，型材壁厚不低于1.2mm。</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⑤地面基层应采用不低于C20混凝土，且厚度应不小于100mm，装饰面层宜选用地砖。</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3957320" cy="3745230"/>
            <wp:effectExtent l="0" t="0" r="0" b="0"/>
            <wp:docPr id="66" name="图片 66" descr="EOH2YA6V9VP@3I@H9DJC8I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descr="EOH2YA6V9VP@3I@H9DJC8IX"/>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3957320" cy="3745230"/>
                    </a:xfrm>
                    <a:prstGeom prst="rect">
                      <a:avLst/>
                    </a:prstGeom>
                    <a:noFill/>
                    <a:ln>
                      <a:noFill/>
                    </a:ln>
                  </pic:spPr>
                </pic:pic>
              </a:graphicData>
            </a:graphic>
          </wp:inline>
        </w:drawing>
      </w:r>
    </w:p>
    <w:p>
      <w:pPr>
        <w:spacing w:line="360" w:lineRule="auto"/>
        <w:ind w:firstLine="480" w:firstLineChars="200"/>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t>基础要求</w:t>
      </w:r>
      <w:r>
        <w:rPr>
          <w:rFonts w:hint="eastAsia"/>
          <w:color w:val="000000" w:themeColor="text1"/>
          <w:sz w:val="24"/>
          <w:szCs w:val="21"/>
          <w:highlight w:val="none"/>
          <w14:textFill>
            <w14:solidFill>
              <w14:schemeClr w14:val="tx1"/>
            </w14:solidFill>
          </w14:textFill>
        </w:rPr>
        <w:t>：</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①断面应采用不小于300mm*300mm的条形基础，混凝土标号不低于C20。</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②地基承载力特征值不应小于100kPa。当遇到松散填土等不良地质条件时，应根据地基承载力要求进行地基处理或加固。</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③立柱与基础安装应采用不小于M10的膨胀螺栓连接。</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主要节点：</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①墙板与立柱宜采用插入式连接。</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②屋面瓦与檩条用M5.5*80自攻钉连接，与檩条连接的波峰处应有1颗自攻钉。</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③楼板与檩条用M5*30沉头自攻钉连接，自攻钉间距不大于300mm。</w:t>
      </w:r>
    </w:p>
    <w:p>
      <w:pPr>
        <w:widowControl/>
        <w:jc w:val="center"/>
        <w:rPr>
          <w:rFonts w:ascii="宋体" w:hAnsi="宋体" w:cs="宋体"/>
          <w:color w:val="000000" w:themeColor="text1"/>
          <w:kern w:val="0"/>
          <w:sz w:val="24"/>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3511550" cy="3526155"/>
            <wp:effectExtent l="0" t="0" r="0" b="0"/>
            <wp:docPr id="67" name="图片 67" descr="N)NGZU7NC}[Y63VF4}%`H)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descr="N)NGZU7NC}[Y63VF4}%`H)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3511550" cy="3526155"/>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45" w:name="_Toc22370"/>
      <w:bookmarkStart w:id="1046" w:name="_Toc44492665"/>
      <w:bookmarkStart w:id="1047" w:name="_Toc804"/>
      <w:r>
        <w:rPr>
          <w:rFonts w:hint="eastAsia"/>
          <w:color w:val="000000" w:themeColor="text1"/>
          <w:sz w:val="24"/>
          <w:szCs w:val="24"/>
          <w:highlight w:val="none"/>
          <w14:textFill>
            <w14:solidFill>
              <w14:schemeClr w14:val="tx1"/>
            </w14:solidFill>
          </w14:textFill>
        </w:rPr>
        <w:t>4.4</w:t>
      </w:r>
      <w:r>
        <w:rPr>
          <w:color w:val="000000" w:themeColor="text1"/>
          <w:sz w:val="24"/>
          <w:szCs w:val="24"/>
          <w:highlight w:val="none"/>
          <w14:textFill>
            <w14:solidFill>
              <w14:schemeClr w14:val="tx1"/>
            </w14:solidFill>
          </w14:textFill>
        </w:rPr>
        <w:t xml:space="preserve"> </w:t>
      </w:r>
      <w:r>
        <w:rPr>
          <w:rFonts w:hint="eastAsia"/>
          <w:color w:val="000000" w:themeColor="text1"/>
          <w:sz w:val="24"/>
          <w:highlight w:val="none"/>
          <w14:textFill>
            <w14:solidFill>
              <w14:schemeClr w14:val="tx1"/>
            </w14:solidFill>
          </w14:textFill>
        </w:rPr>
        <w:t>卫生间、浴室</w:t>
      </w:r>
      <w:bookmarkEnd w:id="1045"/>
      <w:bookmarkEnd w:id="1046"/>
      <w:bookmarkEnd w:id="1047"/>
    </w:p>
    <w:p>
      <w:pPr>
        <w:spacing w:line="360" w:lineRule="auto"/>
        <w:ind w:firstLine="480" w:firstLineChars="200"/>
        <w:jc w:val="left"/>
        <w:rPr>
          <w:rFonts w:ascii="宋体" w:hAnsi="宋体"/>
          <w:color w:val="000000" w:themeColor="text1"/>
          <w:sz w:val="24"/>
          <w:szCs w:val="21"/>
          <w:highlight w:val="none"/>
          <w14:textFill>
            <w14:solidFill>
              <w14:schemeClr w14:val="tx1"/>
            </w14:solidFill>
          </w14:textFill>
        </w:rPr>
      </w:pPr>
      <w:r>
        <w:rPr>
          <w:rFonts w:hint="eastAsia" w:ascii="宋体" w:hAnsi="宋体"/>
          <w:color w:val="000000" w:themeColor="text1"/>
          <w:sz w:val="24"/>
          <w:szCs w:val="21"/>
          <w:highlight w:val="none"/>
          <w14:textFill>
            <w14:solidFill>
              <w14:schemeClr w14:val="tx1"/>
            </w14:solidFill>
          </w14:textFill>
        </w:rPr>
        <w:t>生活区设专门的浴室，男女浴室分开设立，并按人员数量设足够的淋浴设施，每100人配不少于5个淋浴头。</w:t>
      </w:r>
    </w:p>
    <w:p>
      <w:pPr>
        <w:spacing w:line="360" w:lineRule="auto"/>
        <w:ind w:firstLine="480" w:firstLineChars="200"/>
        <w:jc w:val="left"/>
        <w:rPr>
          <w:rFonts w:ascii="宋体" w:hAnsi="宋体"/>
          <w:color w:val="000000" w:themeColor="text1"/>
          <w:sz w:val="24"/>
          <w:szCs w:val="21"/>
          <w:highlight w:val="none"/>
          <w14:textFill>
            <w14:solidFill>
              <w14:schemeClr w14:val="tx1"/>
            </w14:solidFill>
          </w14:textFill>
        </w:rPr>
      </w:pPr>
      <w:r>
        <w:rPr>
          <w:rFonts w:hint="eastAsia" w:ascii="宋体" w:hAnsi="宋体"/>
          <w:color w:val="000000" w:themeColor="text1"/>
          <w:sz w:val="24"/>
          <w:szCs w:val="21"/>
          <w:highlight w:val="none"/>
          <w14:textFill>
            <w14:solidFill>
              <w14:schemeClr w14:val="tx1"/>
            </w14:solidFill>
          </w14:textFill>
        </w:rPr>
        <w:t>卫生间、浴室内墙及地面应粘贴瓷砖，采用防滑地板或采取防滑措施，谨防滑跌伤人。卫生间和浴室应有冲水设备，外墙张贴管理制度并设置导向牌。</w:t>
      </w:r>
    </w:p>
    <w:p>
      <w:pPr>
        <w:spacing w:line="360" w:lineRule="auto"/>
        <w:ind w:firstLine="480" w:firstLineChars="200"/>
        <w:jc w:val="left"/>
        <w:rPr>
          <w:rFonts w:ascii="宋体" w:hAnsi="宋体"/>
          <w:color w:val="000000" w:themeColor="text1"/>
          <w:sz w:val="24"/>
          <w:szCs w:val="21"/>
          <w:highlight w:val="none"/>
          <w14:textFill>
            <w14:solidFill>
              <w14:schemeClr w14:val="tx1"/>
            </w14:solidFill>
          </w14:textFill>
        </w:rPr>
      </w:pPr>
      <w:r>
        <w:rPr>
          <w:rFonts w:hint="eastAsia" w:ascii="宋体" w:hAnsi="宋体"/>
          <w:color w:val="000000" w:themeColor="text1"/>
          <w:sz w:val="24"/>
          <w:szCs w:val="21"/>
          <w:highlight w:val="none"/>
          <w14:textFill>
            <w14:solidFill>
              <w14:schemeClr w14:val="tx1"/>
            </w14:solidFill>
          </w14:textFill>
        </w:rPr>
        <w:t>浴室等有水房间应采用防水灯具，高度不低于2.5米。卫生间浴室、龙头应采用节水龙头。</w:t>
      </w:r>
    </w:p>
    <w:p>
      <w:pPr>
        <w:widowControl/>
        <w:jc w:val="left"/>
        <w:rPr>
          <w:color w:val="000000" w:themeColor="text1"/>
          <w:sz w:val="24"/>
          <w:szCs w:val="21"/>
          <w:highlight w:val="none"/>
          <w14:textFill>
            <w14:solidFill>
              <w14:schemeClr w14:val="tx1"/>
            </w14:solidFill>
          </w14:textFill>
        </w:rPr>
      </w:pPr>
      <w:r>
        <w:rPr>
          <w:rFonts w:ascii="宋体" w:hAnsi="宋体" w:cs="宋体"/>
          <w:color w:val="000000" w:themeColor="text1"/>
          <w:kern w:val="0"/>
          <w:sz w:val="24"/>
          <w:highlight w:val="none"/>
          <w14:textFill>
            <w14:solidFill>
              <w14:schemeClr w14:val="tx1"/>
            </w14:solidFill>
          </w14:textFill>
        </w:rPr>
        <w:drawing>
          <wp:inline distT="0" distB="0" distL="0" distR="0">
            <wp:extent cx="2092325" cy="2465070"/>
            <wp:effectExtent l="0" t="0" r="0" b="0"/>
            <wp:docPr id="68" name="图片 68" descr="Y04@(})12$T(2LC3{U[JXC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descr="Y04@(})12$T(2LC3{U[JXCD"/>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2092325" cy="2465070"/>
                    </a:xfrm>
                    <a:prstGeom prst="rect">
                      <a:avLst/>
                    </a:prstGeom>
                    <a:noFill/>
                    <a:ln>
                      <a:noFill/>
                    </a:ln>
                  </pic:spPr>
                </pic:pic>
              </a:graphicData>
            </a:graphic>
          </wp:inline>
        </w:drawing>
      </w:r>
      <w:r>
        <w:rPr>
          <w:rFonts w:hint="eastAsia" w:ascii="宋体" w:hAnsi="宋体" w:cs="宋体"/>
          <w:color w:val="000000" w:themeColor="text1"/>
          <w:kern w:val="0"/>
          <w:sz w:val="24"/>
          <w:highlight w:val="none"/>
          <w14:textFill>
            <w14:solidFill>
              <w14:schemeClr w14:val="tx1"/>
            </w14:solidFill>
          </w14:textFill>
        </w:rPr>
        <w:t xml:space="preserve"> </w:t>
      </w:r>
      <w:r>
        <w:rPr>
          <w:color w:val="000000" w:themeColor="text1"/>
          <w:highlight w:val="none"/>
          <w14:textFill>
            <w14:solidFill>
              <w14:schemeClr w14:val="tx1"/>
            </w14:solidFill>
          </w14:textFill>
        </w:rPr>
        <w:drawing>
          <wp:inline distT="0" distB="0" distL="0" distR="0">
            <wp:extent cx="2860040" cy="247269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2860040" cy="2472690"/>
                    </a:xfrm>
                    <a:prstGeom prst="rect">
                      <a:avLst/>
                    </a:prstGeom>
                    <a:noFill/>
                    <a:ln>
                      <a:noFill/>
                    </a:ln>
                  </pic:spPr>
                </pic:pic>
              </a:graphicData>
            </a:graphic>
          </wp:inline>
        </w:drawing>
      </w:r>
    </w:p>
    <w:p>
      <w:pPr>
        <w:pStyle w:val="4"/>
        <w:spacing w:before="100" w:beforeAutospacing="1" w:after="100" w:afterAutospacing="1" w:line="240" w:lineRule="auto"/>
        <w:rPr>
          <w:color w:val="000000" w:themeColor="text1"/>
          <w:sz w:val="24"/>
          <w:szCs w:val="24"/>
          <w:highlight w:val="none"/>
          <w14:textFill>
            <w14:solidFill>
              <w14:schemeClr w14:val="tx1"/>
            </w14:solidFill>
          </w14:textFill>
        </w:rPr>
      </w:pPr>
      <w:bookmarkStart w:id="1048" w:name="_Toc44492666"/>
      <w:bookmarkStart w:id="1049" w:name="_Toc19634"/>
      <w:bookmarkStart w:id="1050" w:name="_Toc821"/>
      <w:r>
        <w:rPr>
          <w:rFonts w:hint="eastAsia"/>
          <w:color w:val="000000" w:themeColor="text1"/>
          <w:sz w:val="24"/>
          <w:szCs w:val="24"/>
          <w:highlight w:val="none"/>
          <w14:textFill>
            <w14:solidFill>
              <w14:schemeClr w14:val="tx1"/>
            </w14:solidFill>
          </w14:textFill>
        </w:rPr>
        <w:t>4</w:t>
      </w:r>
      <w:r>
        <w:rPr>
          <w:color w:val="000000" w:themeColor="text1"/>
          <w:sz w:val="24"/>
          <w:szCs w:val="24"/>
          <w:highlight w:val="none"/>
          <w14:textFill>
            <w14:solidFill>
              <w14:schemeClr w14:val="tx1"/>
            </w14:solidFill>
          </w14:textFill>
        </w:rPr>
        <w:t>.</w:t>
      </w:r>
      <w:r>
        <w:rPr>
          <w:rFonts w:hint="eastAsia"/>
          <w:color w:val="000000" w:themeColor="text1"/>
          <w:sz w:val="24"/>
          <w:szCs w:val="24"/>
          <w:highlight w:val="none"/>
          <w14:textFill>
            <w14:solidFill>
              <w14:schemeClr w14:val="tx1"/>
            </w14:solidFill>
          </w14:textFill>
        </w:rPr>
        <w:t>5</w:t>
      </w:r>
      <w:r>
        <w:rPr>
          <w:color w:val="000000" w:themeColor="text1"/>
          <w:sz w:val="24"/>
          <w:szCs w:val="24"/>
          <w:highlight w:val="none"/>
          <w14:textFill>
            <w14:solidFill>
              <w14:schemeClr w14:val="tx1"/>
            </w14:solidFill>
          </w14:textFill>
        </w:rPr>
        <w:t xml:space="preserve"> </w:t>
      </w:r>
      <w:r>
        <w:rPr>
          <w:rFonts w:hint="eastAsia"/>
          <w:color w:val="000000" w:themeColor="text1"/>
          <w:sz w:val="24"/>
          <w:szCs w:val="24"/>
          <w:highlight w:val="none"/>
          <w14:textFill>
            <w14:solidFill>
              <w14:schemeClr w14:val="tx1"/>
            </w14:solidFill>
          </w14:textFill>
        </w:rPr>
        <w:t>食堂</w:t>
      </w:r>
      <w:bookmarkEnd w:id="1048"/>
      <w:bookmarkEnd w:id="1049"/>
      <w:bookmarkEnd w:id="1050"/>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1</w:t>
      </w:r>
      <w:r>
        <w:rPr>
          <w:rFonts w:hint="eastAsia"/>
          <w:color w:val="000000" w:themeColor="text1"/>
          <w:sz w:val="24"/>
          <w:szCs w:val="21"/>
          <w:highlight w:val="none"/>
          <w14:textFill>
            <w14:solidFill>
              <w14:schemeClr w14:val="tx1"/>
            </w14:solidFill>
          </w14:textFill>
        </w:rPr>
        <w:t>）食堂规模、厨师人数应与工程建设规模及用餐人数相适应。</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2</w:t>
      </w:r>
      <w:r>
        <w:rPr>
          <w:rFonts w:hint="eastAsia"/>
          <w:color w:val="000000" w:themeColor="text1"/>
          <w:sz w:val="24"/>
          <w:szCs w:val="21"/>
          <w:highlight w:val="none"/>
          <w14:textFill>
            <w14:solidFill>
              <w14:schemeClr w14:val="tx1"/>
            </w14:solidFill>
          </w14:textFill>
        </w:rPr>
        <w:t>）食堂必须办理卫生许可证，相关人员需持有效的健康证明上岗，所在单位应按要求安排食堂相关人员定期体检。食堂的管理人员、卫生许可证、工作人员健康合格证均应公示。</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3</w:t>
      </w:r>
      <w:r>
        <w:rPr>
          <w:rFonts w:hint="eastAsia"/>
          <w:color w:val="000000" w:themeColor="text1"/>
          <w:sz w:val="24"/>
          <w:szCs w:val="21"/>
          <w:highlight w:val="none"/>
          <w14:textFill>
            <w14:solidFill>
              <w14:schemeClr w14:val="tx1"/>
            </w14:solidFill>
          </w14:textFill>
        </w:rPr>
        <w:t>）厨师进行炊事工作时要穿戴“三白”（白色工作帽、白色工作服、白色口罩），严禁穿拖鞋，保持个人卫生。</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4</w:t>
      </w:r>
      <w:r>
        <w:rPr>
          <w:rFonts w:hint="eastAsia"/>
          <w:color w:val="000000" w:themeColor="text1"/>
          <w:sz w:val="24"/>
          <w:szCs w:val="21"/>
          <w:highlight w:val="none"/>
          <w14:textFill>
            <w14:solidFill>
              <w14:schemeClr w14:val="tx1"/>
            </w14:solidFill>
          </w14:textFill>
        </w:rPr>
        <w:t>）食堂应优先使用天然气或用电，若使用液化气，储罐数量应严格控制，</w:t>
      </w:r>
      <w:r>
        <w:rPr>
          <w:color w:val="000000" w:themeColor="text1"/>
          <w:sz w:val="24"/>
          <w:szCs w:val="21"/>
          <w:highlight w:val="none"/>
          <w14:textFill>
            <w14:solidFill>
              <w14:schemeClr w14:val="tx1"/>
            </w14:solidFill>
          </w14:textFill>
        </w:rPr>
        <w:t xml:space="preserve">50kg </w:t>
      </w:r>
      <w:r>
        <w:rPr>
          <w:rFonts w:hint="eastAsia"/>
          <w:color w:val="000000" w:themeColor="text1"/>
          <w:sz w:val="24"/>
          <w:szCs w:val="21"/>
          <w:highlight w:val="none"/>
          <w14:textFill>
            <w14:solidFill>
              <w14:schemeClr w14:val="tx1"/>
            </w14:solidFill>
          </w14:textFill>
        </w:rPr>
        <w:t>液化气罐应小于</w:t>
      </w:r>
      <w:r>
        <w:rPr>
          <w:color w:val="000000" w:themeColor="text1"/>
          <w:sz w:val="24"/>
          <w:szCs w:val="21"/>
          <w:highlight w:val="none"/>
          <w14:textFill>
            <w14:solidFill>
              <w14:schemeClr w14:val="tx1"/>
            </w14:solidFill>
          </w14:textFill>
        </w:rPr>
        <w:t>8</w:t>
      </w:r>
      <w:r>
        <w:rPr>
          <w:rFonts w:hint="eastAsia"/>
          <w:color w:val="000000" w:themeColor="text1"/>
          <w:sz w:val="24"/>
          <w:szCs w:val="21"/>
          <w:highlight w:val="none"/>
          <w14:textFill>
            <w14:solidFill>
              <w14:schemeClr w14:val="tx1"/>
            </w14:solidFill>
          </w14:textFill>
        </w:rPr>
        <w:t>个（总量不超过</w:t>
      </w:r>
      <w:r>
        <w:rPr>
          <w:color w:val="000000" w:themeColor="text1"/>
          <w:sz w:val="24"/>
          <w:szCs w:val="21"/>
          <w:highlight w:val="none"/>
          <w14:textFill>
            <w14:solidFill>
              <w14:schemeClr w14:val="tx1"/>
            </w14:solidFill>
          </w14:textFill>
        </w:rPr>
        <w:t>500kg</w:t>
      </w:r>
      <w:r>
        <w:rPr>
          <w:rFonts w:hint="eastAsia"/>
          <w:color w:val="000000" w:themeColor="text1"/>
          <w:sz w:val="24"/>
          <w:szCs w:val="21"/>
          <w:highlight w:val="none"/>
          <w14:textFill>
            <w14:solidFill>
              <w14:schemeClr w14:val="tx1"/>
            </w14:solidFill>
          </w14:textFill>
        </w:rPr>
        <w:t>）。食堂应配置灭火器等消防设备设施。</w:t>
      </w:r>
    </w:p>
    <w:p>
      <w:pPr>
        <w:spacing w:line="360" w:lineRule="auto"/>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538095" cy="2084705"/>
            <wp:effectExtent l="0" t="0" r="0" b="0"/>
            <wp:docPr id="70" name="图片 70" descr="15840899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descr="1584089976(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2538095" cy="2084705"/>
                    </a:xfrm>
                    <a:prstGeom prst="rect">
                      <a:avLst/>
                    </a:prstGeom>
                    <a:noFill/>
                    <a:ln>
                      <a:noFill/>
                    </a:ln>
                  </pic:spPr>
                </pic:pic>
              </a:graphicData>
            </a:graphic>
          </wp:inline>
        </w:drawing>
      </w:r>
      <w:r>
        <w:rPr>
          <w:color w:val="000000" w:themeColor="text1"/>
          <w:sz w:val="24"/>
          <w:szCs w:val="21"/>
          <w:highlight w:val="none"/>
          <w14:textFill>
            <w14:solidFill>
              <w14:schemeClr w14:val="tx1"/>
            </w14:solidFill>
          </w14:textFill>
        </w:rPr>
        <w:drawing>
          <wp:inline distT="0" distB="0" distL="0" distR="0">
            <wp:extent cx="2750820" cy="2026285"/>
            <wp:effectExtent l="0" t="0" r="0" b="0"/>
            <wp:docPr id="71" name="图片 71" descr="15840900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descr="1584090020(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2750820" cy="2026285"/>
                    </a:xfrm>
                    <a:prstGeom prst="rect">
                      <a:avLst/>
                    </a:prstGeom>
                    <a:noFill/>
                    <a:ln>
                      <a:noFill/>
                    </a:ln>
                  </pic:spPr>
                </pic:pic>
              </a:graphicData>
            </a:graphic>
          </wp:inline>
        </w:drawing>
      </w:r>
    </w:p>
    <w:p>
      <w:pPr>
        <w:spacing w:line="360" w:lineRule="auto"/>
        <w:ind w:firstLine="480" w:firstLineChars="200"/>
        <w:jc w:val="left"/>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5</w:t>
      </w:r>
      <w:r>
        <w:rPr>
          <w:rFonts w:hint="eastAsia"/>
          <w:color w:val="000000" w:themeColor="text1"/>
          <w:sz w:val="24"/>
          <w:szCs w:val="21"/>
          <w:highlight w:val="none"/>
          <w14:textFill>
            <w14:solidFill>
              <w14:schemeClr w14:val="tx1"/>
            </w14:solidFill>
          </w14:textFill>
        </w:rPr>
        <w:t>）食堂垃圾应装在专门容器或专用塑料袋内，实行封闭管理。生熟食应分别存放，并落实防蝇、污水排放（设置隔油池）等措施。</w:t>
      </w:r>
    </w:p>
    <w:p>
      <w:pPr>
        <w:spacing w:line="360" w:lineRule="auto"/>
        <w:ind w:firstLine="480" w:firstLineChars="200"/>
        <w:jc w:val="left"/>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6</w:t>
      </w:r>
      <w:r>
        <w:rPr>
          <w:rFonts w:hint="eastAsia"/>
          <w:color w:val="000000" w:themeColor="text1"/>
          <w:sz w:val="24"/>
          <w:szCs w:val="21"/>
          <w:highlight w:val="none"/>
          <w14:textFill>
            <w14:solidFill>
              <w14:schemeClr w14:val="tx1"/>
            </w14:solidFill>
          </w14:textFill>
        </w:rPr>
        <w:t>）完善食品采购、食物留样等卫生管理制度。</w:t>
      </w:r>
    </w:p>
    <w:p>
      <w:pPr>
        <w:spacing w:line="360" w:lineRule="auto"/>
        <w:ind w:firstLine="480" w:firstLineChars="200"/>
        <w:jc w:val="left"/>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7</w:t>
      </w:r>
      <w:r>
        <w:rPr>
          <w:rFonts w:hint="eastAsia"/>
          <w:color w:val="000000" w:themeColor="text1"/>
          <w:sz w:val="24"/>
          <w:szCs w:val="21"/>
          <w:highlight w:val="none"/>
          <w14:textFill>
            <w14:solidFill>
              <w14:schemeClr w14:val="tx1"/>
            </w14:solidFill>
          </w14:textFill>
        </w:rPr>
        <w:t>）职工餐厅设置餐桌、凳子、洗碗池、垃圾桶，食堂管理人员及时做好清洁工作。</w:t>
      </w:r>
    </w:p>
    <w:p>
      <w:pPr>
        <w:spacing w:line="360" w:lineRule="auto"/>
        <w:ind w:firstLine="480" w:firstLineChars="200"/>
        <w:jc w:val="left"/>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w:t>
      </w:r>
      <w:r>
        <w:rPr>
          <w:color w:val="000000" w:themeColor="text1"/>
          <w:sz w:val="24"/>
          <w:szCs w:val="21"/>
          <w:highlight w:val="none"/>
          <w14:textFill>
            <w14:solidFill>
              <w14:schemeClr w14:val="tx1"/>
            </w14:solidFill>
          </w14:textFill>
        </w:rPr>
        <w:t>8</w:t>
      </w:r>
      <w:r>
        <w:rPr>
          <w:rFonts w:hint="eastAsia"/>
          <w:color w:val="000000" w:themeColor="text1"/>
          <w:sz w:val="24"/>
          <w:szCs w:val="21"/>
          <w:highlight w:val="none"/>
          <w14:textFill>
            <w14:solidFill>
              <w14:schemeClr w14:val="tx1"/>
            </w14:solidFill>
          </w14:textFill>
        </w:rPr>
        <w:t>）食堂应设置适当数量的宣传标语，宣传标语可以包括用餐公约、消防安全、对厨师人员评价公示栏、保持卫生等内容。</w:t>
      </w:r>
    </w:p>
    <w:p>
      <w:pPr>
        <w:spacing w:line="360" w:lineRule="auto"/>
        <w:jc w:val="center"/>
        <w:rPr>
          <w:color w:val="000000" w:themeColor="text1"/>
          <w:sz w:val="24"/>
          <w:szCs w:val="21"/>
          <w:highlight w:val="none"/>
          <w14:textFill>
            <w14:solidFill>
              <w14:schemeClr w14:val="tx1"/>
            </w14:solidFill>
          </w14:textFill>
        </w:rPr>
      </w:pPr>
      <w:r>
        <w:rPr>
          <w:color w:val="000000" w:themeColor="text1"/>
          <w:sz w:val="24"/>
          <w:szCs w:val="21"/>
          <w:highlight w:val="none"/>
          <w14:textFill>
            <w14:solidFill>
              <w14:schemeClr w14:val="tx1"/>
            </w14:solidFill>
          </w14:textFill>
        </w:rPr>
        <w:drawing>
          <wp:inline distT="0" distB="0" distL="0" distR="0">
            <wp:extent cx="2787015" cy="2223770"/>
            <wp:effectExtent l="0" t="0" r="0" b="0"/>
            <wp:docPr id="72" name="图片 72" descr="15840905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descr="1584090589(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2787015" cy="2223770"/>
                    </a:xfrm>
                    <a:prstGeom prst="rect">
                      <a:avLst/>
                    </a:prstGeom>
                    <a:noFill/>
                    <a:ln>
                      <a:noFill/>
                    </a:ln>
                  </pic:spPr>
                </pic:pic>
              </a:graphicData>
            </a:graphic>
          </wp:inline>
        </w:drawing>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1051" w:name="_Toc44492667"/>
      <w:bookmarkStart w:id="1052" w:name="_Toc13752"/>
      <w:bookmarkStart w:id="1053" w:name="_Toc5515"/>
      <w:r>
        <w:rPr>
          <w:rFonts w:hint="eastAsia"/>
          <w:color w:val="000000" w:themeColor="text1"/>
          <w:sz w:val="28"/>
          <w:szCs w:val="24"/>
          <w:highlight w:val="none"/>
          <w14:textFill>
            <w14:solidFill>
              <w14:schemeClr w14:val="tx1"/>
            </w14:solidFill>
          </w14:textFill>
        </w:rPr>
        <w:t>五、安全标志标牌</w:t>
      </w:r>
      <w:bookmarkEnd w:id="1051"/>
      <w:bookmarkEnd w:id="1052"/>
      <w:bookmarkEnd w:id="1053"/>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安全标志标牌设置总原则为：标识清晰、导向明确、牢固美观、整齐划一、数量满足施工要求。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安全标志包括GB2894-</w:t>
      </w:r>
      <w:r>
        <w:rPr>
          <w:color w:val="000000" w:themeColor="text1"/>
          <w:sz w:val="24"/>
          <w:szCs w:val="21"/>
          <w:highlight w:val="none"/>
          <w14:textFill>
            <w14:solidFill>
              <w14:schemeClr w14:val="tx1"/>
            </w14:solidFill>
          </w14:textFill>
        </w:rPr>
        <w:t>2008</w:t>
      </w:r>
      <w:r>
        <w:rPr>
          <w:rFonts w:hint="eastAsia"/>
          <w:color w:val="000000" w:themeColor="text1"/>
          <w:sz w:val="24"/>
          <w:szCs w:val="21"/>
          <w:highlight w:val="none"/>
          <w14:textFill>
            <w14:solidFill>
              <w14:schemeClr w14:val="tx1"/>
            </w14:solidFill>
          </w14:textFill>
        </w:rPr>
        <w:t>《安全标志及其使用导则》中的禁止标志、警告标志、指令标志和提示标志四大类型，各类标志的详细标准，可参考GB2894-</w:t>
      </w:r>
      <w:r>
        <w:rPr>
          <w:color w:val="000000" w:themeColor="text1"/>
          <w:sz w:val="24"/>
          <w:szCs w:val="21"/>
          <w:highlight w:val="none"/>
          <w14:textFill>
            <w14:solidFill>
              <w14:schemeClr w14:val="tx1"/>
            </w14:solidFill>
          </w14:textFill>
        </w:rPr>
        <w:t>2008</w:t>
      </w:r>
      <w:r>
        <w:rPr>
          <w:rFonts w:hint="eastAsia"/>
          <w:color w:val="000000" w:themeColor="text1"/>
          <w:sz w:val="24"/>
          <w:szCs w:val="21"/>
          <w:highlight w:val="none"/>
          <w14:textFill>
            <w14:solidFill>
              <w14:schemeClr w14:val="tx1"/>
            </w14:solidFill>
          </w14:textFill>
        </w:rPr>
        <w:t>《安全标志及其使用导则》。</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标志牌采用镀锌铁板、PVC 板或塑料板制成，面层为黑体字。安全标志牌分为禁止标志、警告标志、指令标志、提示标志四种，标志牌宽×高：400mm×500mm；其内容根据图标自定。如下图示：</w:t>
      </w:r>
    </w:p>
    <w:p>
      <w:pPr>
        <w:spacing w:line="360" w:lineRule="auto"/>
        <w:jc w:val="center"/>
        <w:rPr>
          <w:rFonts w:ascii="仿宋_GB2312" w:eastAsia="仿宋_GB2312"/>
          <w:color w:val="000000" w:themeColor="text1"/>
          <w:sz w:val="32"/>
          <w:szCs w:val="32"/>
          <w:highlight w:val="none"/>
          <w14:textFill>
            <w14:solidFill>
              <w14:schemeClr w14:val="tx1"/>
            </w14:solidFill>
          </w14:textFill>
        </w:rPr>
      </w:pPr>
      <w:r>
        <w:rPr>
          <w:rFonts w:ascii="仿宋_GB2312" w:eastAsia="仿宋_GB2312"/>
          <w:color w:val="000000" w:themeColor="text1"/>
          <w:sz w:val="32"/>
          <w:szCs w:val="32"/>
          <w:highlight w:val="none"/>
          <w14:textFill>
            <w14:solidFill>
              <w14:schemeClr w14:val="tx1"/>
            </w14:solidFill>
          </w14:textFill>
        </w:rPr>
        <w:drawing>
          <wp:inline distT="0" distB="0" distL="0" distR="0">
            <wp:extent cx="3613785" cy="393573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3613785" cy="3935730"/>
                    </a:xfrm>
                    <a:prstGeom prst="rect">
                      <a:avLst/>
                    </a:prstGeom>
                    <a:noFill/>
                    <a:ln>
                      <a:noFill/>
                    </a:ln>
                  </pic:spPr>
                </pic:pic>
              </a:graphicData>
            </a:graphic>
          </wp:inline>
        </w:drawing>
      </w:r>
    </w:p>
    <w:p>
      <w:pPr>
        <w:spacing w:line="360" w:lineRule="auto"/>
        <w:jc w:val="center"/>
        <w:rPr>
          <w:rFonts w:ascii="楷体_GB2312" w:eastAsia="楷体_GB2312"/>
          <w:b/>
          <w:color w:val="000000" w:themeColor="text1"/>
          <w:szCs w:val="21"/>
          <w:highlight w:val="none"/>
          <w14:textFill>
            <w14:solidFill>
              <w14:schemeClr w14:val="tx1"/>
            </w14:solidFill>
          </w14:textFill>
        </w:rPr>
      </w:pPr>
      <w:r>
        <w:rPr>
          <w:rFonts w:hint="eastAsia" w:ascii="楷体_GB2312" w:eastAsia="楷体_GB2312"/>
          <w:b/>
          <w:color w:val="000000" w:themeColor="text1"/>
          <w:szCs w:val="21"/>
          <w:highlight w:val="none"/>
          <w14:textFill>
            <w14:solidFill>
              <w14:schemeClr w14:val="tx1"/>
            </w14:solidFill>
          </w14:textFill>
        </w:rPr>
        <w:t>禁止标志</w:t>
      </w:r>
    </w:p>
    <w:p>
      <w:pPr>
        <w:spacing w:line="360" w:lineRule="auto"/>
        <w:jc w:val="center"/>
        <w:rPr>
          <w:rFonts w:ascii="仿宋_GB2312" w:eastAsia="仿宋_GB2312"/>
          <w:color w:val="000000" w:themeColor="text1"/>
          <w:sz w:val="32"/>
          <w:szCs w:val="32"/>
          <w:highlight w:val="none"/>
          <w14:textFill>
            <w14:solidFill>
              <w14:schemeClr w14:val="tx1"/>
            </w14:solidFill>
          </w14:textFill>
        </w:rPr>
      </w:pPr>
      <w:r>
        <w:rPr>
          <w:rFonts w:ascii="仿宋_GB2312" w:eastAsia="仿宋_GB2312"/>
          <w:color w:val="000000" w:themeColor="text1"/>
          <w:sz w:val="32"/>
          <w:szCs w:val="32"/>
          <w:highlight w:val="none"/>
          <w14:textFill>
            <w14:solidFill>
              <w14:schemeClr w14:val="tx1"/>
            </w14:solidFill>
          </w14:textFill>
        </w:rPr>
        <w:drawing>
          <wp:inline distT="0" distB="0" distL="0" distR="0">
            <wp:extent cx="3606165" cy="432308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3606165" cy="4323080"/>
                    </a:xfrm>
                    <a:prstGeom prst="rect">
                      <a:avLst/>
                    </a:prstGeom>
                    <a:noFill/>
                    <a:ln>
                      <a:noFill/>
                    </a:ln>
                  </pic:spPr>
                </pic:pic>
              </a:graphicData>
            </a:graphic>
          </wp:inline>
        </w:drawing>
      </w:r>
    </w:p>
    <w:p>
      <w:pPr>
        <w:spacing w:line="360" w:lineRule="auto"/>
        <w:jc w:val="center"/>
        <w:rPr>
          <w:rFonts w:ascii="楷体_GB2312" w:eastAsia="楷体_GB2312"/>
          <w:b/>
          <w:color w:val="000000" w:themeColor="text1"/>
          <w:szCs w:val="21"/>
          <w:highlight w:val="none"/>
          <w14:textFill>
            <w14:solidFill>
              <w14:schemeClr w14:val="tx1"/>
            </w14:solidFill>
          </w14:textFill>
        </w:rPr>
      </w:pPr>
      <w:r>
        <w:rPr>
          <w:rFonts w:hint="eastAsia" w:ascii="楷体_GB2312" w:eastAsia="楷体_GB2312"/>
          <w:b/>
          <w:color w:val="000000" w:themeColor="text1"/>
          <w:szCs w:val="21"/>
          <w:highlight w:val="none"/>
          <w14:textFill>
            <w14:solidFill>
              <w14:schemeClr w14:val="tx1"/>
            </w14:solidFill>
          </w14:textFill>
        </w:rPr>
        <w:t xml:space="preserve"> 警告标志</w:t>
      </w:r>
    </w:p>
    <w:p>
      <w:pPr>
        <w:spacing w:line="360" w:lineRule="auto"/>
        <w:jc w:val="center"/>
        <w:rPr>
          <w:color w:val="000000" w:themeColor="text1"/>
          <w:szCs w:val="21"/>
          <w:highlight w:val="none"/>
          <w14:textFill>
            <w14:solidFill>
              <w14:schemeClr w14:val="tx1"/>
            </w14:solidFill>
          </w14:textFill>
        </w:rPr>
      </w:pPr>
      <w:r>
        <w:rPr>
          <w:rFonts w:ascii="仿宋_GB2312" w:eastAsia="仿宋_GB2312"/>
          <w:color w:val="000000" w:themeColor="text1"/>
          <w:sz w:val="32"/>
          <w:szCs w:val="32"/>
          <w:highlight w:val="none"/>
          <w14:textFill>
            <w14:solidFill>
              <w14:schemeClr w14:val="tx1"/>
            </w14:solidFill>
          </w14:textFill>
        </w:rPr>
        <w:drawing>
          <wp:inline distT="0" distB="0" distL="0" distR="0">
            <wp:extent cx="3620770" cy="389191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620770" cy="3891915"/>
                    </a:xfrm>
                    <a:prstGeom prst="rect">
                      <a:avLst/>
                    </a:prstGeom>
                    <a:noFill/>
                    <a:ln>
                      <a:noFill/>
                    </a:ln>
                  </pic:spPr>
                </pic:pic>
              </a:graphicData>
            </a:graphic>
          </wp:inline>
        </w:drawing>
      </w:r>
    </w:p>
    <w:p>
      <w:pPr>
        <w:spacing w:line="360" w:lineRule="auto"/>
        <w:jc w:val="center"/>
        <w:rPr>
          <w:rFonts w:ascii="楷体_GB2312" w:eastAsia="楷体_GB2312"/>
          <w:b/>
          <w:color w:val="000000" w:themeColor="text1"/>
          <w:szCs w:val="21"/>
          <w:highlight w:val="none"/>
          <w14:textFill>
            <w14:solidFill>
              <w14:schemeClr w14:val="tx1"/>
            </w14:solidFill>
          </w14:textFill>
        </w:rPr>
      </w:pPr>
      <w:r>
        <w:rPr>
          <w:rFonts w:hint="eastAsia" w:eastAsia="楷体_GB2312"/>
          <w:b/>
          <w:color w:val="000000" w:themeColor="text1"/>
          <w:szCs w:val="21"/>
          <w:highlight w:val="none"/>
          <w14:textFill>
            <w14:solidFill>
              <w14:schemeClr w14:val="tx1"/>
            </w14:solidFill>
          </w14:textFill>
        </w:rPr>
        <w:t>指令标示</w:t>
      </w:r>
    </w:p>
    <w:p>
      <w:pPr>
        <w:spacing w:line="360" w:lineRule="auto"/>
        <w:ind w:left="-15" w:leftChars="-7"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禁止标志设置在任何有必须禁止行为的区域，用以禁止可能带来安全隐患的行为，包括“禁止吸烟”、“禁止烟火”、“禁止通行”、“禁止入内”等。</w:t>
      </w:r>
    </w:p>
    <w:p>
      <w:pPr>
        <w:spacing w:line="360" w:lineRule="auto"/>
        <w:ind w:left="-15" w:leftChars="-7"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警告标志设置在施工区域的通道入口、施工控制区域和其他存在安全风险的区域（如临边（水）、配电箱、存在落物打击风险的区域），用以提醒相关人员注意防范和远离危险，包括“注意安全”，“当心坠落”、“当心落物”、“当心滑跌”、“当心触电”等。</w:t>
      </w:r>
    </w:p>
    <w:p>
      <w:pPr>
        <w:spacing w:line="360" w:lineRule="auto"/>
        <w:ind w:firstLine="480" w:firstLineChars="200"/>
        <w:rPr>
          <w:color w:val="000000" w:themeColor="text1"/>
          <w:sz w:val="24"/>
          <w:highlight w:val="none"/>
          <w14:textFill>
            <w14:solidFill>
              <w14:schemeClr w14:val="tx1"/>
            </w14:solidFill>
          </w14:textFill>
        </w:rPr>
      </w:pPr>
      <w:r>
        <w:rPr>
          <w:rFonts w:hint="eastAsia"/>
          <w:color w:val="000000" w:themeColor="text1"/>
          <w:sz w:val="24"/>
          <w:highlight w:val="none"/>
          <w14:textFill>
            <w14:solidFill>
              <w14:schemeClr w14:val="tx1"/>
            </w14:solidFill>
          </w14:textFill>
        </w:rPr>
        <w:t>指令标志设置在施工区域的通道入口和必须采取特殊防护的作业场所，用以提醒相关人员必须穿戴必要的劳动保护用品和特殊防护用品，包括“必须穿工作服”，“必须带安全帽”，“必须戴防护眼镜”，“必须系安全带”，“必须带防护手套”等。</w:t>
      </w:r>
    </w:p>
    <w:p>
      <w:pPr>
        <w:pStyle w:val="4"/>
        <w:spacing w:before="100" w:beforeAutospacing="1" w:after="100" w:afterAutospacing="1" w:line="360" w:lineRule="auto"/>
        <w:rPr>
          <w:color w:val="000000" w:themeColor="text1"/>
          <w:sz w:val="28"/>
          <w:szCs w:val="24"/>
          <w:highlight w:val="none"/>
          <w14:textFill>
            <w14:solidFill>
              <w14:schemeClr w14:val="tx1"/>
            </w14:solidFill>
          </w14:textFill>
        </w:rPr>
      </w:pPr>
      <w:bookmarkStart w:id="1054" w:name="_Toc44492668"/>
      <w:bookmarkStart w:id="1055" w:name="_Toc6012"/>
      <w:bookmarkStart w:id="1056" w:name="_Toc16622"/>
      <w:r>
        <w:rPr>
          <w:rFonts w:hint="eastAsia"/>
          <w:color w:val="000000" w:themeColor="text1"/>
          <w:sz w:val="28"/>
          <w:szCs w:val="24"/>
          <w:highlight w:val="none"/>
          <w14:textFill>
            <w14:solidFill>
              <w14:schemeClr w14:val="tx1"/>
            </w14:solidFill>
          </w14:textFill>
        </w:rPr>
        <w:t>六、附则</w:t>
      </w:r>
      <w:bookmarkEnd w:id="1054"/>
      <w:bookmarkEnd w:id="1055"/>
      <w:bookmarkEnd w:id="1056"/>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1、本图册的图片供各参建单位参考，各项标准为工程绿色施工安全防护措施基本要求，各单位绿色施工安全防护措施标准应不低于此图册相关要求。</w:t>
      </w:r>
    </w:p>
    <w:p>
      <w:pPr>
        <w:spacing w:line="360" w:lineRule="auto"/>
        <w:ind w:firstLine="480" w:firstLineChars="200"/>
        <w:rPr>
          <w:color w:val="000000" w:themeColor="text1"/>
          <w:sz w:val="24"/>
          <w:szCs w:val="21"/>
          <w:highlight w:val="none"/>
          <w14:textFill>
            <w14:solidFill>
              <w14:schemeClr w14:val="tx1"/>
            </w14:solidFill>
          </w14:textFill>
        </w:rPr>
      </w:pPr>
      <w:r>
        <w:rPr>
          <w:rFonts w:hint="eastAsia"/>
          <w:color w:val="000000" w:themeColor="text1"/>
          <w:sz w:val="24"/>
          <w:szCs w:val="21"/>
          <w:highlight w:val="none"/>
          <w14:textFill>
            <w14:solidFill>
              <w14:schemeClr w14:val="tx1"/>
            </w14:solidFill>
          </w14:textFill>
        </w:rPr>
        <w:t>2、本图册解释权属粤海置地（深圳 ）有限公司。</w:t>
      </w:r>
    </w:p>
    <w:p>
      <w:pPr>
        <w:spacing w:line="360" w:lineRule="auto"/>
        <w:rPr>
          <w:color w:val="000000" w:themeColor="text1"/>
          <w:highlight w:val="none"/>
          <w14:textFill>
            <w14:solidFill>
              <w14:schemeClr w14:val="tx1"/>
            </w14:solidFill>
          </w14:textFill>
        </w:rPr>
      </w:pPr>
    </w:p>
    <w:p>
      <w:pPr>
        <w:pStyle w:val="2"/>
        <w:rPr>
          <w:color w:val="000000" w:themeColor="text1"/>
          <w:sz w:val="28"/>
          <w:szCs w:val="28"/>
          <w:highlight w:val="none"/>
          <w14:textFill>
            <w14:solidFill>
              <w14:schemeClr w14:val="tx1"/>
            </w14:solidFill>
          </w14:textFill>
        </w:rPr>
      </w:pPr>
      <w:bookmarkStart w:id="1057" w:name="_Toc993"/>
      <w:bookmarkStart w:id="1058" w:name="_Toc44227958"/>
      <w:bookmarkStart w:id="1059" w:name="_Toc24680"/>
      <w:bookmarkStart w:id="1060" w:name="_Toc44492670"/>
      <w:bookmarkStart w:id="1061" w:name="_Toc118446919"/>
      <w:bookmarkStart w:id="1062" w:name="_Toc22024"/>
      <w:bookmarkStart w:id="1063" w:name="_Toc40186532"/>
      <w:r>
        <w:rPr>
          <w:rFonts w:hint="eastAsia"/>
          <w:color w:val="000000" w:themeColor="text1"/>
          <w:sz w:val="28"/>
          <w:szCs w:val="28"/>
          <w:highlight w:val="none"/>
          <w14:textFill>
            <w14:solidFill>
              <w14:schemeClr w14:val="tx1"/>
            </w14:solidFill>
          </w14:textFill>
        </w:rPr>
        <w:t>附件1</w:t>
      </w:r>
      <w:bookmarkEnd w:id="1057"/>
      <w:bookmarkEnd w:id="1058"/>
      <w:bookmarkEnd w:id="1059"/>
      <w:bookmarkEnd w:id="1060"/>
      <w:r>
        <w:rPr>
          <w:rFonts w:hint="eastAsia"/>
          <w:color w:val="000000" w:themeColor="text1"/>
          <w:sz w:val="28"/>
          <w:szCs w:val="28"/>
          <w:highlight w:val="none"/>
          <w14:textFill>
            <w14:solidFill>
              <w14:schemeClr w14:val="tx1"/>
            </w14:solidFill>
          </w14:textFill>
        </w:rPr>
        <w:t>2粤海置地施工环境VI展示图</w:t>
      </w:r>
      <w:bookmarkEnd w:id="1061"/>
      <w:bookmarkEnd w:id="1062"/>
    </w:p>
    <w:bookmarkEnd w:id="1063"/>
    <w:p>
      <w:pPr>
        <w:spacing w:line="360" w:lineRule="auto"/>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0" distR="0">
            <wp:extent cx="5596255" cy="5567045"/>
            <wp:effectExtent l="0" t="0" r="0" b="0"/>
            <wp:docPr id="76"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8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5596255" cy="5567045"/>
                    </a:xfrm>
                    <a:prstGeom prst="rect">
                      <a:avLst/>
                    </a:prstGeom>
                    <a:noFill/>
                    <a:ln>
                      <a:noFill/>
                    </a:ln>
                  </pic:spPr>
                </pic:pic>
              </a:graphicData>
            </a:graphic>
          </wp:inline>
        </w:drawing>
      </w: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0" distR="0">
            <wp:extent cx="5354955" cy="4008755"/>
            <wp:effectExtent l="0" t="0" r="0" b="0"/>
            <wp:docPr id="77"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8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5354955" cy="4008755"/>
                    </a:xfrm>
                    <a:prstGeom prst="rect">
                      <a:avLst/>
                    </a:prstGeom>
                    <a:noFill/>
                    <a:ln>
                      <a:noFill/>
                    </a:ln>
                  </pic:spPr>
                </pic:pic>
              </a:graphicData>
            </a:graphic>
          </wp:inline>
        </w:drawing>
      </w:r>
    </w:p>
    <w:p>
      <w:pPr>
        <w:pStyle w:val="52"/>
        <w:ind w:firstLine="0" w:firstLineChars="0"/>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0" distR="0">
            <wp:extent cx="5596255" cy="4198620"/>
            <wp:effectExtent l="0" t="0" r="0" b="0"/>
            <wp:docPr id="78"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8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pPr>
        <w:rPr>
          <w:color w:val="000000" w:themeColor="text1"/>
          <w:highlight w:val="none"/>
          <w14:textFill>
            <w14:solidFill>
              <w14:schemeClr w14:val="tx1"/>
            </w14:solidFill>
          </w14:textFill>
        </w:rPr>
      </w:pPr>
      <w:r>
        <w:rPr>
          <w:rFonts w:hint="eastAsia"/>
          <w:color w:val="000000" w:themeColor="text1"/>
          <w:highlight w:val="none"/>
          <w14:textFill>
            <w14:solidFill>
              <w14:schemeClr w14:val="tx1"/>
            </w14:solidFill>
          </w14:textFill>
        </w:rPr>
        <w:drawing>
          <wp:inline distT="0" distB="0" distL="0" distR="0">
            <wp:extent cx="5596255" cy="4198620"/>
            <wp:effectExtent l="0" t="0" r="0" b="0"/>
            <wp:docPr id="79" name="图片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8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596255" cy="4198620"/>
                    </a:xfrm>
                    <a:prstGeom prst="rect">
                      <a:avLst/>
                    </a:prstGeom>
                    <a:noFill/>
                    <a:ln>
                      <a:noFill/>
                    </a:ln>
                  </pic:spPr>
                </pic:pic>
              </a:graphicData>
            </a:graphic>
          </wp:inline>
        </w:drawing>
      </w: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pStyle w:val="52"/>
        <w:ind w:firstLine="0" w:firstLineChars="0"/>
        <w:jc w:val="center"/>
        <w:rPr>
          <w:b/>
          <w:color w:val="000000" w:themeColor="text1"/>
          <w:sz w:val="28"/>
          <w:szCs w:val="28"/>
          <w:highlight w:val="none"/>
          <w14:textFill>
            <w14:solidFill>
              <w14:schemeClr w14:val="tx1"/>
            </w14:solidFill>
          </w14:textFill>
        </w:rPr>
      </w:pPr>
    </w:p>
    <w:p>
      <w:pPr>
        <w:pStyle w:val="52"/>
        <w:ind w:firstLine="0" w:firstLineChars="0"/>
        <w:jc w:val="center"/>
        <w:rPr>
          <w:b/>
          <w:color w:val="000000" w:themeColor="text1"/>
          <w:sz w:val="28"/>
          <w:szCs w:val="28"/>
          <w:highlight w:val="none"/>
          <w14:textFill>
            <w14:solidFill>
              <w14:schemeClr w14:val="tx1"/>
            </w14:solidFill>
          </w14:textFill>
        </w:rPr>
      </w:pPr>
    </w:p>
    <w:p>
      <w:pPr>
        <w:pStyle w:val="52"/>
        <w:ind w:firstLine="0" w:firstLineChars="0"/>
        <w:rPr>
          <w:color w:val="000000" w:themeColor="text1"/>
          <w:highlight w:val="none"/>
          <w14:textFill>
            <w14:solidFill>
              <w14:schemeClr w14:val="tx1"/>
            </w14:solidFill>
          </w14:textFill>
        </w:rPr>
      </w:pPr>
    </w:p>
    <w:p>
      <w:pPr>
        <w:pStyle w:val="2"/>
        <w:rPr>
          <w:color w:val="000000" w:themeColor="text1"/>
          <w:sz w:val="28"/>
          <w:szCs w:val="28"/>
          <w:highlight w:val="none"/>
          <w14:textFill>
            <w14:solidFill>
              <w14:schemeClr w14:val="tx1"/>
            </w14:solidFill>
          </w14:textFill>
        </w:rPr>
      </w:pPr>
      <w:r>
        <w:rPr>
          <w:color w:val="000000" w:themeColor="text1"/>
          <w:highlight w:val="none"/>
          <w14:textFill>
            <w14:solidFill>
              <w14:schemeClr w14:val="tx1"/>
            </w14:solidFill>
          </w14:textFill>
        </w:rPr>
        <w:br w:type="page"/>
      </w:r>
    </w:p>
    <w:p>
      <w:pPr>
        <w:pStyle w:val="52"/>
        <w:ind w:firstLine="0" w:firstLineChars="0"/>
        <w:outlineLvl w:val="0"/>
        <w:rPr>
          <w:rFonts w:eastAsia="宋体"/>
          <w:b/>
          <w:bCs/>
          <w:color w:val="000000" w:themeColor="text1"/>
          <w:kern w:val="44"/>
          <w:sz w:val="30"/>
          <w:szCs w:val="30"/>
          <w:highlight w:val="none"/>
          <w14:textFill>
            <w14:solidFill>
              <w14:schemeClr w14:val="tx1"/>
            </w14:solidFill>
          </w14:textFill>
        </w:rPr>
      </w:pPr>
      <w:bookmarkStart w:id="1064" w:name="_Toc27457"/>
      <w:bookmarkStart w:id="1065" w:name="_Toc118446920"/>
      <w:r>
        <w:rPr>
          <w:rFonts w:hint="eastAsia" w:eastAsia="宋体"/>
          <w:b/>
          <w:bCs/>
          <w:color w:val="000000" w:themeColor="text1"/>
          <w:kern w:val="44"/>
          <w:sz w:val="30"/>
          <w:szCs w:val="30"/>
          <w:highlight w:val="none"/>
          <w14:textFill>
            <w14:solidFill>
              <w14:schemeClr w14:val="tx1"/>
            </w14:solidFill>
          </w14:textFill>
        </w:rPr>
        <w:t>附件13 图纸</w:t>
      </w:r>
      <w:bookmarkEnd w:id="1064"/>
      <w:bookmarkEnd w:id="1065"/>
      <w:r>
        <w:rPr>
          <w:rFonts w:hint="eastAsia" w:eastAsia="宋体"/>
          <w:b/>
          <w:bCs/>
          <w:color w:val="000000" w:themeColor="text1"/>
          <w:kern w:val="44"/>
          <w:sz w:val="30"/>
          <w:szCs w:val="30"/>
          <w:highlight w:val="none"/>
          <w14:textFill>
            <w14:solidFill>
              <w14:schemeClr w14:val="tx1"/>
            </w14:solidFill>
          </w14:textFill>
        </w:rPr>
        <w:t>（另册）</w:t>
      </w: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rPr>
          <w:color w:val="000000" w:themeColor="text1"/>
          <w:highlight w:val="none"/>
          <w14:textFill>
            <w14:solidFill>
              <w14:schemeClr w14:val="tx1"/>
            </w14:solidFill>
          </w14:textFill>
        </w:rPr>
      </w:pPr>
    </w:p>
    <w:p>
      <w:pPr>
        <w:pStyle w:val="52"/>
        <w:ind w:firstLine="0" w:firstLineChars="0"/>
        <w:outlineLvl w:val="0"/>
        <w:rPr>
          <w:b/>
          <w:color w:val="000000" w:themeColor="text1"/>
          <w:kern w:val="44"/>
          <w:sz w:val="28"/>
          <w:highlight w:val="none"/>
          <w14:textFill>
            <w14:solidFill>
              <w14:schemeClr w14:val="tx1"/>
            </w14:solidFill>
          </w14:textFill>
        </w:rPr>
      </w:pPr>
      <w:bookmarkStart w:id="1066" w:name="_Toc17912"/>
      <w:bookmarkStart w:id="1067" w:name="_Toc118446921"/>
      <w:r>
        <w:rPr>
          <w:rFonts w:hint="eastAsia" w:eastAsia="宋体"/>
          <w:b/>
          <w:bCs/>
          <w:color w:val="000000" w:themeColor="text1"/>
          <w:kern w:val="44"/>
          <w:sz w:val="28"/>
          <w:szCs w:val="28"/>
          <w:highlight w:val="none"/>
          <w14:textFill>
            <w14:solidFill>
              <w14:schemeClr w14:val="tx1"/>
            </w14:solidFill>
          </w14:textFill>
        </w:rPr>
        <w:t>附件14 工程建设资金拨付管理办法及实施细则</w:t>
      </w:r>
      <w:bookmarkEnd w:id="1066"/>
      <w:bookmarkEnd w:id="1067"/>
    </w:p>
    <w:p>
      <w:pPr>
        <w:spacing w:line="360" w:lineRule="auto"/>
        <w:ind w:right="-92" w:rightChars="-44"/>
        <w:jc w:val="center"/>
        <w:rPr>
          <w:rFonts w:ascii="宋体" w:hAnsi="宋体" w:cs="宋体"/>
          <w:b/>
          <w:bCs/>
          <w:color w:val="000000" w:themeColor="text1"/>
          <w:sz w:val="32"/>
          <w:szCs w:val="32"/>
          <w:highlight w:val="none"/>
          <w14:textFill>
            <w14:solidFill>
              <w14:schemeClr w14:val="tx1"/>
            </w14:solidFill>
          </w14:textFill>
        </w:rPr>
      </w:pPr>
      <w:r>
        <w:rPr>
          <w:rFonts w:hint="eastAsia" w:ascii="宋体" w:hAnsi="宋体" w:cs="宋体"/>
          <w:b/>
          <w:bCs/>
          <w:color w:val="000000" w:themeColor="text1"/>
          <w:sz w:val="32"/>
          <w:szCs w:val="32"/>
          <w:highlight w:val="none"/>
          <w14:textFill>
            <w14:solidFill>
              <w14:schemeClr w14:val="tx1"/>
            </w14:solidFill>
          </w14:textFill>
        </w:rPr>
        <w:t>工程建设资金拨付管理办法及实施细则</w:t>
      </w:r>
    </w:p>
    <w:p>
      <w:pPr>
        <w:spacing w:before="312" w:beforeLines="100" w:after="156" w:afterLines="50" w:line="360" w:lineRule="auto"/>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第一章  总则</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第一条   为了加强本工程项目建设资金的使用管理，提高建设资金使用效益，确保建设资金专款专用，并且保证其安全、高效的使用，根据国家有关规定特制定本办法。</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第二条  本办法适用于与本工程建设的工程承包商及监管开户银行。</w:t>
      </w:r>
    </w:p>
    <w:p>
      <w:pPr>
        <w:spacing w:before="156" w:beforeLines="50" w:after="156" w:afterLines="50" w:line="360" w:lineRule="auto"/>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第二章  资金账户的管理</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第一条  工程承包商必须在广州地区开设银行监管账户。未经核准的账户，广东粤海置地发展有限公司（以下简称“置地发展” )不予以拨付工程款项。</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第二条  置地发展确认的监管开户银行应依法为开户单位保密，除国家法律、法规规定的有权部门和置地发展管理规定需要外，不准代任何单位和个人查询、冻结、扣划开户单位的存款。</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第三条  开户单位申请开设银行账户时，应按规定向监管开户银行出具有关证明材料，在条件满足的情况下，监管开户银行应在二天内办妥开户手续。</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第四条  开户单位申请撤销指定的账户，需向置地发展提出书面申请并经同意。同时根据监管开户银行的有关撤销账户要求，办理并完善相关的手续。</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第五条  开户单位的账户只能办理自身的业务，不得出租或转让。工程承包商违反上述规定或套取建设资金另作他用，监管开户银行有权制止，并报置地发展。</w:t>
      </w:r>
    </w:p>
    <w:p>
      <w:pPr>
        <w:spacing w:before="156" w:beforeLines="50" w:after="156" w:afterLines="50" w:line="360" w:lineRule="auto"/>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第三章  项目资金管理</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第一条  为了确保本工程项目建设资金正常运行和安全、有效使用，对本项目建设资金采取集中监控的管理模式。置地发展对参与本项目工程施工的承包商在银行开设专用账户，对其项目资金的流向实施监控，以达到建设资金专款专用的目的。</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第二条  置地发展、工程承包商（分包商）及监管开户银行三方共同签订《广东粤海置地发展有限公司建设项目建设资金管理协议》，监管开户单位授权同意该监管开户银行把工程专项资金的往来结算记录及对账资料提供给置地发展查阅，以此规范建设资金的使用行为。</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第三条  经置地发展审核拨付的工程款，工程承包商应专款专用，严禁挪作他用；工程承包商违反规定用途转款或用款的，监管开户银行有权拒绝付款，并及时把信息反馈到置地发展，置地发展将酌情进行处理。</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第四条  工程承包商应及时支付材料、设备等款项，及时支付施工人员工资，确保工程建设顺利进行。</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第五条  保证建设资金的安全和工程建设的顺利进行，工程承包商在承建的工程正式交验之前，未经置地发展同意不得以任何名义转移资金。</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第六条  监管开户银行应为工程承包商提供全方位的优质服务，不得无理压票压汇；同时应密切跟进开户单位在实际资金运作中提出服务要求，为其解决在工程建设中的实际问题（如施工人员工资的提现等）。</w:t>
      </w:r>
    </w:p>
    <w:p>
      <w:pPr>
        <w:spacing w:before="156" w:beforeLines="50" w:after="156" w:afterLines="50" w:line="360" w:lineRule="auto"/>
        <w:jc w:val="center"/>
        <w:rPr>
          <w:rFonts w:asciiTheme="minorEastAsia" w:hAnsiTheme="minorEastAsia" w:eastAsiaTheme="minorEastAsia"/>
          <w:b/>
          <w:color w:val="000000" w:themeColor="text1"/>
          <w:sz w:val="24"/>
          <w:highlight w:val="none"/>
          <w14:textFill>
            <w14:solidFill>
              <w14:schemeClr w14:val="tx1"/>
            </w14:solidFill>
          </w14:textFill>
        </w:rPr>
      </w:pPr>
      <w:r>
        <w:rPr>
          <w:rFonts w:hint="eastAsia" w:asciiTheme="minorEastAsia" w:hAnsiTheme="minorEastAsia" w:eastAsiaTheme="minorEastAsia"/>
          <w:b/>
          <w:color w:val="000000" w:themeColor="text1"/>
          <w:sz w:val="24"/>
          <w:highlight w:val="none"/>
          <w14:textFill>
            <w14:solidFill>
              <w14:schemeClr w14:val="tx1"/>
            </w14:solidFill>
          </w14:textFill>
        </w:rPr>
        <w:t>第四章  附则</w:t>
      </w:r>
    </w:p>
    <w:p>
      <w:pPr>
        <w:spacing w:line="360" w:lineRule="auto"/>
        <w:ind w:firstLine="480" w:firstLineChars="200"/>
        <w:rPr>
          <w:rFonts w:asciiTheme="minorEastAsia" w:hAnsiTheme="minorEastAsia" w:eastAsiaTheme="minorEastAsia"/>
          <w:color w:val="000000" w:themeColor="text1"/>
          <w:sz w:val="24"/>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第一条  本办法执行过程中如有问题请及时向置地发展反映。</w:t>
      </w:r>
    </w:p>
    <w:p>
      <w:pPr>
        <w:widowControl/>
        <w:jc w:val="left"/>
        <w:rPr>
          <w:color w:val="000000" w:themeColor="text1"/>
          <w:highlight w:val="none"/>
          <w14:textFill>
            <w14:solidFill>
              <w14:schemeClr w14:val="tx1"/>
            </w14:solidFill>
          </w14:textFill>
        </w:rPr>
      </w:pPr>
      <w:r>
        <w:rPr>
          <w:rFonts w:hint="eastAsia" w:asciiTheme="minorEastAsia" w:hAnsiTheme="minorEastAsia" w:eastAsiaTheme="minorEastAsia"/>
          <w:color w:val="000000" w:themeColor="text1"/>
          <w:sz w:val="24"/>
          <w:highlight w:val="none"/>
          <w14:textFill>
            <w14:solidFill>
              <w14:schemeClr w14:val="tx1"/>
            </w14:solidFill>
          </w14:textFill>
        </w:rPr>
        <w:t>第二条  本办法自项目竣工结算完成，办理清算后6个月自行废止。</w:t>
      </w:r>
      <w:r>
        <w:rPr>
          <w:color w:val="000000" w:themeColor="text1"/>
          <w:highlight w:val="none"/>
          <w14:textFill>
            <w14:solidFill>
              <w14:schemeClr w14:val="tx1"/>
            </w14:solidFill>
          </w14:textFill>
        </w:rPr>
        <w:br w:type="page"/>
      </w:r>
    </w:p>
    <w:p>
      <w:pPr>
        <w:pStyle w:val="52"/>
        <w:ind w:firstLine="0" w:firstLineChars="0"/>
        <w:outlineLvl w:val="0"/>
        <w:rPr>
          <w:rFonts w:eastAsia="宋体"/>
          <w:b/>
          <w:bCs/>
          <w:color w:val="000000" w:themeColor="text1"/>
          <w:kern w:val="44"/>
          <w:sz w:val="28"/>
          <w:szCs w:val="28"/>
          <w:highlight w:val="none"/>
          <w14:textFill>
            <w14:solidFill>
              <w14:schemeClr w14:val="tx1"/>
            </w14:solidFill>
          </w14:textFill>
        </w:rPr>
      </w:pPr>
      <w:bookmarkStart w:id="1068" w:name="_Toc21631"/>
      <w:bookmarkStart w:id="1069" w:name="_Toc118446922"/>
      <w:r>
        <w:rPr>
          <w:rFonts w:hint="eastAsia" w:eastAsia="宋体"/>
          <w:b/>
          <w:bCs/>
          <w:color w:val="000000" w:themeColor="text1"/>
          <w:kern w:val="44"/>
          <w:sz w:val="28"/>
          <w:szCs w:val="28"/>
          <w:highlight w:val="none"/>
          <w14:textFill>
            <w14:solidFill>
              <w14:schemeClr w14:val="tx1"/>
            </w14:solidFill>
          </w14:textFill>
        </w:rPr>
        <w:t>附件15 安全管理协议书</w:t>
      </w:r>
      <w:bookmarkEnd w:id="1068"/>
      <w:bookmarkEnd w:id="1069"/>
    </w:p>
    <w:p>
      <w:pPr>
        <w:spacing w:line="500" w:lineRule="exact"/>
        <w:ind w:right="512" w:rightChars="244"/>
        <w:jc w:val="center"/>
        <w:rPr>
          <w:rFonts w:ascii="黑体" w:hAnsi="黑体" w:eastAsia="黑体" w:cs="黑体"/>
          <w:color w:val="000000" w:themeColor="text1"/>
          <w:sz w:val="28"/>
          <w:szCs w:val="28"/>
          <w:highlight w:val="none"/>
          <w14:textFill>
            <w14:solidFill>
              <w14:schemeClr w14:val="tx1"/>
            </w14:solidFill>
          </w14:textFill>
        </w:rPr>
      </w:pPr>
      <w:r>
        <w:rPr>
          <w:rFonts w:hint="eastAsia" w:ascii="黑体" w:hAnsi="黑体" w:eastAsia="黑体" w:cs="黑体"/>
          <w:color w:val="000000" w:themeColor="text1"/>
          <w:sz w:val="28"/>
          <w:szCs w:val="28"/>
          <w:highlight w:val="none"/>
          <w14:textFill>
            <w14:solidFill>
              <w14:schemeClr w14:val="tx1"/>
            </w14:solidFill>
          </w14:textFill>
        </w:rPr>
        <w:t>安全管理协议书</w:t>
      </w:r>
    </w:p>
    <w:p>
      <w:pPr>
        <w:spacing w:line="500" w:lineRule="exact"/>
        <w:ind w:right="512" w:rightChars="244"/>
        <w:jc w:val="center"/>
        <w:rPr>
          <w:rFonts w:ascii="黑体" w:hAnsi="黑体" w:eastAsia="黑体" w:cs="黑体"/>
          <w:color w:val="000000" w:themeColor="text1"/>
          <w:sz w:val="36"/>
          <w:szCs w:val="36"/>
          <w:highlight w:val="none"/>
          <w14:textFill>
            <w14:solidFill>
              <w14:schemeClr w14:val="tx1"/>
            </w14:solidFill>
          </w14:textFill>
        </w:rPr>
      </w:pPr>
    </w:p>
    <w:p>
      <w:pPr>
        <w:spacing w:line="360" w:lineRule="exact"/>
        <w:ind w:right="512" w:rightChars="244"/>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承包人（全称）：</w:t>
      </w:r>
      <w:r>
        <w:rPr>
          <w:rFonts w:hint="eastAsia" w:ascii="宋体" w:hAnsi="宋体" w:cs="宋体"/>
          <w:color w:val="000000" w:themeColor="text1"/>
          <w:sz w:val="20"/>
          <w:szCs w:val="20"/>
          <w:highlight w:val="none"/>
          <w:u w:val="single"/>
          <w14:textFill>
            <w14:solidFill>
              <w14:schemeClr w14:val="tx1"/>
            </w14:solidFill>
          </w14:textFill>
        </w:rPr>
        <w:t xml:space="preserve">中国建筑第二工程局有限公司   </w:t>
      </w:r>
    </w:p>
    <w:p>
      <w:pPr>
        <w:spacing w:line="360" w:lineRule="exact"/>
        <w:ind w:right="512" w:rightChars="244"/>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分包人（全称）：</w:t>
      </w:r>
      <w:r>
        <w:rPr>
          <w:rFonts w:hint="eastAsia" w:ascii="宋体" w:hAnsi="宋体" w:cs="宋体"/>
          <w:color w:val="000000" w:themeColor="text1"/>
          <w:sz w:val="20"/>
          <w:szCs w:val="20"/>
          <w:highlight w:val="none"/>
          <w:u w:val="single"/>
          <w14:textFill>
            <w14:solidFill>
              <w14:schemeClr w14:val="tx1"/>
            </w14:solidFill>
          </w14:textFill>
        </w:rPr>
        <w:t xml:space="preserve">             </w:t>
      </w:r>
      <w:r>
        <w:rPr>
          <w:rFonts w:ascii="宋体" w:hAnsi="宋体" w:cs="宋体"/>
          <w:color w:val="000000" w:themeColor="text1"/>
          <w:sz w:val="20"/>
          <w:szCs w:val="20"/>
          <w:highlight w:val="none"/>
          <w:u w:val="single"/>
          <w14:textFill>
            <w14:solidFill>
              <w14:schemeClr w14:val="tx1"/>
            </w14:solidFill>
          </w14:textFill>
        </w:rPr>
        <w:t xml:space="preserve">              </w:t>
      </w:r>
      <w:r>
        <w:rPr>
          <w:rFonts w:hint="eastAsia" w:ascii="宋体" w:hAnsi="宋体" w:cs="宋体"/>
          <w:color w:val="000000" w:themeColor="text1"/>
          <w:sz w:val="20"/>
          <w:szCs w:val="20"/>
          <w:highlight w:val="none"/>
          <w:u w:val="single"/>
          <w14:textFill>
            <w14:solidFill>
              <w14:schemeClr w14:val="tx1"/>
            </w14:solidFill>
          </w14:textFill>
        </w:rPr>
        <w:t xml:space="preserve">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依照《安全生产法》、《建筑法》、《建设工程安全生产管理条例》以及《广东省生产安全事故责任划分试行办法》等有关规定，遵循公平、守法、诚信的原则，为确保施工现场安全生产，双方就本项工程施工事项协商一致，订立本协议书。</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一、工程概况</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 xml:space="preserve">1、工程名称：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 xml:space="preserve">2、工程地点：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3、分承包形式：      专业分包           劳务分包</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二、工程目标</w:t>
      </w:r>
    </w:p>
    <w:p>
      <w:pPr>
        <w:spacing w:line="360" w:lineRule="exact"/>
        <w:ind w:right="512" w:rightChars="244" w:firstLine="400" w:firstLineChars="200"/>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1、因工伤亡控制指标：</w:t>
      </w:r>
      <w:r>
        <w:rPr>
          <w:rFonts w:hint="eastAsia" w:ascii="宋体" w:hAnsi="宋体" w:cs="宋体"/>
          <w:color w:val="000000" w:themeColor="text1"/>
          <w:sz w:val="20"/>
          <w:szCs w:val="20"/>
          <w:highlight w:val="none"/>
          <w:u w:val="single"/>
          <w14:textFill>
            <w14:solidFill>
              <w14:schemeClr w14:val="tx1"/>
            </w14:solidFill>
          </w14:textFill>
        </w:rPr>
        <w:t xml:space="preserve"> 因工死亡和重伤事故为0、年因工轻伤事故频率控制在0.2%以内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2、职业健康控制指标：</w:t>
      </w:r>
      <w:r>
        <w:rPr>
          <w:rFonts w:hint="eastAsia" w:ascii="宋体" w:hAnsi="宋体" w:cs="宋体"/>
          <w:color w:val="000000" w:themeColor="text1"/>
          <w:sz w:val="20"/>
          <w:szCs w:val="20"/>
          <w:highlight w:val="none"/>
          <w:u w:val="single"/>
          <w14:textFill>
            <w14:solidFill>
              <w14:schemeClr w14:val="tx1"/>
            </w14:solidFill>
          </w14:textFill>
        </w:rPr>
        <w:t xml:space="preserve">   职业病发生率为0                               </w:t>
      </w:r>
    </w:p>
    <w:p>
      <w:pPr>
        <w:spacing w:line="360" w:lineRule="exact"/>
        <w:ind w:right="512" w:rightChars="244" w:firstLine="400" w:firstLineChars="200"/>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3、文明安全创优目标：</w:t>
      </w:r>
      <w:r>
        <w:rPr>
          <w:rFonts w:hint="eastAsia" w:ascii="宋体" w:hAnsi="宋体" w:cs="宋体"/>
          <w:color w:val="000000" w:themeColor="text1"/>
          <w:sz w:val="20"/>
          <w:szCs w:val="20"/>
          <w:highlight w:val="none"/>
          <w:u w:val="single"/>
          <w14:textFill>
            <w14:solidFill>
              <w14:schemeClr w14:val="tx1"/>
            </w14:solidFill>
          </w14:textFill>
        </w:rPr>
        <w:t xml:space="preserve">                                 </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三、总包人权利、责任和义务</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1、贯彻执行国家及地方政府有关安全生产的法规制度，建立健全施工现场安全生产保证体系，对施工现场的安全生产负总责。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2、制定施工现场安全管理制度，定期布置、实施、检查、评价、总结工程的安全生产情况，对总承包范围内的施工生产活动进行监督、检查和管理。</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3、严格审查分包人营业执照、技术资质等级，不得将工程分包给不具备相应资质（或资格）的分包人。</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4、保证项目工程安全生产费用的有效使用，完善施工现场安全生产条件。</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5、提供施工现场安全生产环境：</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工程安全防护设施由</w:t>
      </w:r>
      <w:r>
        <w:rPr>
          <w:rFonts w:hint="eastAsia" w:ascii="宋体" w:hAnsi="宋体" w:cs="宋体"/>
          <w:color w:val="000000" w:themeColor="text1"/>
          <w:sz w:val="20"/>
          <w:szCs w:val="20"/>
          <w:highlight w:val="none"/>
          <w:u w:val="single"/>
          <w14:textFill>
            <w14:solidFill>
              <w14:schemeClr w14:val="tx1"/>
            </w14:solidFill>
          </w14:textFill>
        </w:rPr>
        <w:t xml:space="preserve">   甲   </w:t>
      </w:r>
      <w:r>
        <w:rPr>
          <w:rFonts w:hint="eastAsia" w:ascii="宋体" w:hAnsi="宋体" w:cs="宋体"/>
          <w:color w:val="000000" w:themeColor="text1"/>
          <w:sz w:val="20"/>
          <w:szCs w:val="20"/>
          <w:highlight w:val="none"/>
          <w14:textFill>
            <w14:solidFill>
              <w14:schemeClr w14:val="tx1"/>
            </w14:solidFill>
          </w14:textFill>
        </w:rPr>
        <w:t>方提供，日常维护和作业面防护由</w:t>
      </w:r>
      <w:r>
        <w:rPr>
          <w:rFonts w:hint="eastAsia" w:ascii="宋体" w:hAnsi="宋体" w:cs="宋体"/>
          <w:color w:val="000000" w:themeColor="text1"/>
          <w:sz w:val="20"/>
          <w:szCs w:val="20"/>
          <w:highlight w:val="none"/>
          <w:u w:val="single"/>
          <w14:textFill>
            <w14:solidFill>
              <w14:schemeClr w14:val="tx1"/>
            </w14:solidFill>
          </w14:textFill>
        </w:rPr>
        <w:t xml:space="preserve">  乙  </w:t>
      </w:r>
      <w:r>
        <w:rPr>
          <w:rFonts w:hint="eastAsia" w:ascii="宋体" w:hAnsi="宋体" w:cs="宋体"/>
          <w:color w:val="000000" w:themeColor="text1"/>
          <w:sz w:val="20"/>
          <w:szCs w:val="20"/>
          <w:highlight w:val="none"/>
          <w14:textFill>
            <w14:solidFill>
              <w14:schemeClr w14:val="tx1"/>
            </w14:solidFill>
          </w14:textFill>
        </w:rPr>
        <w:t>方负责；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施工用电从用电电源到</w:t>
      </w:r>
      <w:r>
        <w:rPr>
          <w:rFonts w:hint="eastAsia" w:ascii="宋体" w:hAnsi="宋体" w:cs="宋体"/>
          <w:color w:val="000000" w:themeColor="text1"/>
          <w:sz w:val="20"/>
          <w:szCs w:val="20"/>
          <w:highlight w:val="none"/>
          <w:u w:val="single"/>
          <w14:textFill>
            <w14:solidFill>
              <w14:schemeClr w14:val="tx1"/>
            </w14:solidFill>
          </w14:textFill>
        </w:rPr>
        <w:t xml:space="preserve"> 三 </w:t>
      </w:r>
      <w:r>
        <w:rPr>
          <w:rFonts w:hint="eastAsia" w:ascii="宋体" w:hAnsi="宋体" w:cs="宋体"/>
          <w:color w:val="000000" w:themeColor="text1"/>
          <w:sz w:val="20"/>
          <w:szCs w:val="20"/>
          <w:highlight w:val="none"/>
          <w14:textFill>
            <w14:solidFill>
              <w14:schemeClr w14:val="tx1"/>
            </w14:solidFill>
          </w14:textFill>
        </w:rPr>
        <w:t>级配电箱由</w:t>
      </w:r>
      <w:r>
        <w:rPr>
          <w:rFonts w:hint="eastAsia" w:ascii="宋体" w:hAnsi="宋体" w:cs="宋体"/>
          <w:color w:val="000000" w:themeColor="text1"/>
          <w:sz w:val="20"/>
          <w:szCs w:val="20"/>
          <w:highlight w:val="none"/>
          <w:u w:val="single"/>
          <w14:textFill>
            <w14:solidFill>
              <w14:schemeClr w14:val="tx1"/>
            </w14:solidFill>
          </w14:textFill>
        </w:rPr>
        <w:t xml:space="preserve"> 甲 </w:t>
      </w:r>
      <w:r>
        <w:rPr>
          <w:rFonts w:hint="eastAsia" w:ascii="宋体" w:hAnsi="宋体" w:cs="宋体"/>
          <w:color w:val="000000" w:themeColor="text1"/>
          <w:sz w:val="20"/>
          <w:szCs w:val="20"/>
          <w:highlight w:val="none"/>
          <w14:textFill>
            <w14:solidFill>
              <w14:schemeClr w14:val="tx1"/>
            </w14:solidFill>
          </w14:textFill>
        </w:rPr>
        <w:t>方提供，该级配电箱以下的部分由</w:t>
      </w:r>
      <w:r>
        <w:rPr>
          <w:rFonts w:hint="eastAsia" w:ascii="宋体" w:hAnsi="宋体" w:cs="宋体"/>
          <w:color w:val="000000" w:themeColor="text1"/>
          <w:sz w:val="20"/>
          <w:szCs w:val="20"/>
          <w:highlight w:val="none"/>
          <w:u w:val="single"/>
          <w14:textFill>
            <w14:solidFill>
              <w14:schemeClr w14:val="tx1"/>
            </w14:solidFill>
          </w14:textFill>
        </w:rPr>
        <w:t xml:space="preserve">      </w:t>
      </w:r>
      <w:r>
        <w:rPr>
          <w:rFonts w:hint="eastAsia" w:ascii="宋体" w:hAnsi="宋体" w:cs="宋体"/>
          <w:color w:val="000000" w:themeColor="text1"/>
          <w:sz w:val="20"/>
          <w:szCs w:val="20"/>
          <w:highlight w:val="none"/>
          <w14:textFill>
            <w14:solidFill>
              <w14:schemeClr w14:val="tx1"/>
            </w14:solidFill>
          </w14:textFill>
        </w:rPr>
        <w:t>方负责；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总包人对上述设备、设施具有监督检查权，依据广东省有关安全生产标准和中建一局安全生产规定，对检查中发现的隐患有权责令整改、停工整顿或进行经济处罚。</w:t>
      </w:r>
    </w:p>
    <w:p>
      <w:pPr>
        <w:spacing w:line="360" w:lineRule="exact"/>
        <w:ind w:right="512" w:rightChars="244" w:firstLine="400" w:firstLineChars="200"/>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6、负责编制施工现场危险性较大的分部分项工程专项施工方案，并监督实施。</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7、负责施工人员入场安全教育培训考核、施工现场专项安全教育，并负责建立特种作业人员备案档案。</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对施工人员违章指挥、违章作业行为，依法查处和纠正。对作业班组人员出现严重违章、恶意违章及多次违章不听劝阻的（违章率高居不下的），实施班组清退。</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8、负责建立健全施工现场安全生产管理制度；负责建立《施工现场生产安全事故应急救援预案》，有权利要求分包建立救援体系，落实救援措施。</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9、按规定对施工现场发生的生产安全事故进行上报。</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10、按规定对施工现场的危险部位进行安全警示标识。</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11、按规定为从事危险作业的人员办理意外伤害保险。</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12、有义务提供施工现场消防安全通道和消防设备。</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13、有义务对分包人发生生产安全事故时提供协助救援服务。</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14、有义务对分包人开展的安全生产活动提供帮助。</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四、分包人的权利、责任和义务</w:t>
      </w:r>
    </w:p>
    <w:p>
      <w:pPr>
        <w:spacing w:line="360" w:lineRule="exact"/>
        <w:ind w:right="512" w:rightChars="244" w:firstLine="400" w:firstLineChars="200"/>
        <w:rPr>
          <w:rFonts w:ascii="宋体" w:hAnsi="宋体" w:cs="宋体"/>
          <w:color w:val="000000" w:themeColor="text1"/>
          <w:sz w:val="20"/>
          <w:szCs w:val="20"/>
          <w:highlight w:val="none"/>
          <w:u w:val="singl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1、分包项目经理：</w:t>
      </w:r>
      <w:r>
        <w:rPr>
          <w:rFonts w:hint="eastAsia" w:ascii="宋体" w:hAnsi="宋体" w:cs="宋体"/>
          <w:color w:val="000000" w:themeColor="text1"/>
          <w:sz w:val="20"/>
          <w:szCs w:val="20"/>
          <w:highlight w:val="none"/>
          <w:u w:val="single"/>
          <w14:textFill>
            <w14:solidFill>
              <w14:schemeClr w14:val="tx1"/>
            </w14:solidFill>
          </w14:textFill>
        </w:rPr>
        <w:t xml:space="preserve">       </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2、贯彻落实国家及广东省有关施工现场安全生产的法规和管理制度，建立分包安全生产自保体系，对分承包范围内的安全生产活动进行落实、检查和管理。</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3、按照总包人的有关规定提供相关资料。严格按照合约规定，不得承接、承建超越资质范围的施工任务。不得将分承包项目再次转包。</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4、执行施工现场安全管理规定，服从总包安全生产管理，对分承包施工区域或作业活动的安全生产全面负责，并对总包安全生产负连带责任。</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5、有权对施工现场安全生产工作提出意见和建议；有权拒绝总包违反法律法规的安全指令；对造成后果的违章指令有权检举和控告。</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6、对所管辖范围内的安全防护设施（包括洞口、临边等）搭设、拆除、维护和改造及其使用安全全面负责。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责任区内的安全防护设施必须符合广东省有关安全标准和总包对施工现场整体安全防护要求，在搭设、拆除和改造前进行申报并听从总包统一协调。</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7、对所管辖范围内的施工用电设备和用电安全全面负责。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u w:val="single"/>
          <w14:textFill>
            <w14:solidFill>
              <w14:schemeClr w14:val="tx1"/>
            </w14:solidFill>
          </w14:textFill>
        </w:rPr>
        <w:t xml:space="preserve">    </w:t>
      </w:r>
      <w:r>
        <w:rPr>
          <w:rFonts w:hint="eastAsia" w:ascii="宋体" w:hAnsi="宋体" w:cs="宋体"/>
          <w:color w:val="000000" w:themeColor="text1"/>
          <w:sz w:val="20"/>
          <w:szCs w:val="20"/>
          <w:highlight w:val="none"/>
          <w14:textFill>
            <w14:solidFill>
              <w14:schemeClr w14:val="tx1"/>
            </w14:solidFill>
          </w14:textFill>
        </w:rPr>
        <w:t>级以下自备配电设备设施必须符合广东省有关安全标准，对不符合安全标准的用电设备从本责任路段拉接电源有权拒绝。</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8、自带机械设备、设施应符合地方政府有关安全标准，对自带机械设备、设施的安全性和使用、维修安全全面负责。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使（租）用大型机械设备时，应在安装使用前向总包备案。</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9、负责编制本责任区域的专业施工方案、安全技术措施和安全技术交底，并监督实施。</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10、负责对本单位施工人员进行施工队（班组）级安全教育培训，书面告知本岗作业危害和操作规程，经考试合格上岗。</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负责建立特种作业人员安全教育档案，并保证特种作业人员持证上岗。</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11、负责为本单位施工人员提供符合国家标准的个人劳动防护用品，并监督、教育其正确佩戴和使用。</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12、按规定为本单位施工人员办理合法用工手续和工伤保险。</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13、按规定，定期组织对所管辖施工区域和安全活动进行安全检查，对总包下发的隐患通知进行整改消项。</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在安全检查中发现非责任区域存在安全隐患，有义务向总包及时报告。</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14、服从总包统一的协调和管理，对总包单位下达清退的班组和人员，应积极清退；同时对所管辖区域内的文明施工负责，保证所管辖区域内消防设备设施完好、消防通道畅通、环卫卫生达标。</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15、使用非责任区域安全防护设备设施前，应与总包办理相关手续，并负责使用期间的安全维护。对在使用期间由于管理不善造成的已、未遂事故负责。</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16、在施工现场内发生生产安全事故后，必须立即向总包报告，并按规定逐级上报。同时，有义务配合开展事故调查工作。</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五、违约和索赔</w:t>
      </w:r>
    </w:p>
    <w:p>
      <w:pPr>
        <w:spacing w:line="360" w:lineRule="exact"/>
        <w:ind w:right="512" w:rightChars="244" w:firstLine="400" w:firstLineChars="200"/>
        <w:rPr>
          <w:rFonts w:ascii="宋体" w:hAnsi="宋体" w:cs="宋体"/>
          <w:color w:val="000000" w:themeColor="text1"/>
          <w:spacing w:val="-4"/>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w:t>
      </w:r>
      <w:r>
        <w:rPr>
          <w:rFonts w:hint="eastAsia" w:ascii="宋体" w:hAnsi="宋体" w:cs="宋体"/>
          <w:color w:val="000000" w:themeColor="text1"/>
          <w:spacing w:val="-4"/>
          <w:sz w:val="20"/>
          <w:szCs w:val="20"/>
          <w:highlight w:val="none"/>
          <w14:textFill>
            <w14:solidFill>
              <w14:schemeClr w14:val="tx1"/>
            </w14:solidFill>
          </w14:textFill>
        </w:rPr>
        <w:t>由于总包责任造成生产安全事故，导致分包人员伤亡，由总包承担事故责任和经济责任。分包有义务负责协助处理善后事宜。</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2、由于分包责任造成生产安全事故，导致总包人员或第三方人员伤亡，由分包承担事故责任和经济责任。总包或第三方有义务负责协助处理善后事宜。</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3、由于双方责任造成的生产安全事故，根据政府有关部门的责任划分承担相应的事故责任和经济责任。</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4、发生生产安全事故后，由于隐瞒不报、谎报、故意拖延不报、故意破坏事故现场，或者无正当理由拒绝接受调查、拒绝提供有关情况和资料，而导致事故性质变化，事故严重程度加剧，由责任方承担全部责任。连带方可依法进行索赔。</w:t>
      </w:r>
    </w:p>
    <w:p>
      <w:pPr>
        <w:spacing w:line="360" w:lineRule="exact"/>
        <w:ind w:right="512" w:rightChars="244" w:firstLine="402" w:firstLineChars="200"/>
        <w:rPr>
          <w:rFonts w:ascii="宋体" w:hAnsi="宋体" w:cs="宋体"/>
          <w:b/>
          <w:bCs/>
          <w:color w:val="000000" w:themeColor="text1"/>
          <w:sz w:val="20"/>
          <w:szCs w:val="20"/>
          <w:highlight w:val="none"/>
          <w14:textFill>
            <w14:solidFill>
              <w14:schemeClr w14:val="tx1"/>
            </w14:solidFill>
          </w14:textFill>
        </w:rPr>
      </w:pPr>
      <w:r>
        <w:rPr>
          <w:rFonts w:hint="eastAsia" w:ascii="宋体" w:hAnsi="宋体" w:cs="宋体"/>
          <w:b/>
          <w:bCs/>
          <w:color w:val="000000" w:themeColor="text1"/>
          <w:sz w:val="20"/>
          <w:szCs w:val="20"/>
          <w:highlight w:val="none"/>
          <w14:textFill>
            <w14:solidFill>
              <w14:schemeClr w14:val="tx1"/>
            </w14:solidFill>
          </w14:textFill>
        </w:rPr>
        <w:t>六、其他</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1、协议生效和终止：本协议自签订之日起生效，与双方经济合同同等效力。经济合同到期后，本协议同时终止。</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2、协议份数：本协议一式两份，具有同等效力，由总包人、分包人分别保存一份。</w:t>
      </w:r>
    </w:p>
    <w:p>
      <w:pPr>
        <w:spacing w:line="360" w:lineRule="exact"/>
        <w:ind w:right="512" w:rightChars="244" w:firstLine="400" w:firstLineChars="200"/>
        <w:rPr>
          <w:rFonts w:ascii="宋体" w:hAnsi="宋体" w:cs="宋体"/>
          <w:color w:val="000000" w:themeColor="text1"/>
          <w:sz w:val="20"/>
          <w:szCs w:val="20"/>
          <w:highlight w:val="none"/>
          <w14:textFill>
            <w14:solidFill>
              <w14:schemeClr w14:val="tx1"/>
            </w14:solidFill>
          </w14:textFill>
        </w:rPr>
      </w:pPr>
      <w:r>
        <w:rPr>
          <w:rFonts w:hint="eastAsia" w:ascii="宋体" w:hAnsi="宋体" w:cs="宋体"/>
          <w:color w:val="000000" w:themeColor="text1"/>
          <w:sz w:val="20"/>
          <w:szCs w:val="20"/>
          <w:highlight w:val="none"/>
          <w14:textFill>
            <w14:solidFill>
              <w14:schemeClr w14:val="tx1"/>
            </w14:solidFill>
          </w14:textFill>
        </w:rPr>
        <w:t>3、补充条款：双方根据法律、行政法规规定，结合施工现场实际，经协商一致，可对本协议条款具体化、补充或修改，另附专用条款约定。</w:t>
      </w:r>
    </w:p>
    <w:p>
      <w:pPr>
        <w:spacing w:line="360" w:lineRule="exact"/>
        <w:ind w:right="512" w:rightChars="244" w:firstLine="570"/>
        <w:rPr>
          <w:rFonts w:ascii="宋体" w:hAnsi="宋体" w:cs="宋体"/>
          <w:color w:val="000000" w:themeColor="text1"/>
          <w:sz w:val="20"/>
          <w:szCs w:val="20"/>
          <w:highlight w:val="none"/>
          <w14:textFill>
            <w14:solidFill>
              <w14:schemeClr w14:val="tx1"/>
            </w14:solidFill>
          </w14:textFill>
        </w:rPr>
      </w:pPr>
    </w:p>
    <w:p>
      <w:pPr>
        <w:spacing w:line="360" w:lineRule="exact"/>
        <w:ind w:right="512" w:rightChars="244" w:firstLine="570"/>
        <w:rPr>
          <w:rFonts w:ascii="宋体" w:hAnsi="宋体" w:cs="宋体"/>
          <w:color w:val="000000" w:themeColor="text1"/>
          <w:sz w:val="20"/>
          <w:szCs w:val="20"/>
          <w:highlight w:val="none"/>
          <w14:textFill>
            <w14:solidFill>
              <w14:schemeClr w14:val="tx1"/>
            </w14:solidFill>
          </w14:textFill>
        </w:rPr>
      </w:pPr>
    </w:p>
    <w:p>
      <w:pPr>
        <w:spacing w:line="240" w:lineRule="exact"/>
        <w:ind w:right="512" w:rightChars="244" w:firstLine="573"/>
        <w:rPr>
          <w:rFonts w:ascii="宋体" w:hAnsi="宋体" w:cs="宋体"/>
          <w:color w:val="000000" w:themeColor="text1"/>
          <w:sz w:val="20"/>
          <w:szCs w:val="20"/>
          <w:highlight w:val="none"/>
          <w14:textFill>
            <w14:solidFill>
              <w14:schemeClr w14:val="tx1"/>
            </w14:solidFill>
          </w14:textFill>
        </w:rPr>
      </w:pPr>
    </w:p>
    <w:p>
      <w:pPr>
        <w:spacing w:line="360" w:lineRule="auto"/>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承包方：（盖章）                           分包人：（盖章）</w:t>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ab/>
      </w:r>
      <w:r>
        <w:rPr>
          <w:rFonts w:hint="eastAsia"/>
          <w:b/>
          <w:color w:val="000000" w:themeColor="text1"/>
          <w:highlight w:val="none"/>
          <w14:textFill>
            <w14:solidFill>
              <w14:schemeClr w14:val="tx1"/>
            </w14:solidFill>
          </w14:textFill>
        </w:rPr>
        <w:tab/>
      </w:r>
    </w:p>
    <w:p>
      <w:pPr>
        <w:spacing w:line="360" w:lineRule="auto"/>
        <w:rPr>
          <w:b/>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 xml:space="preserve">法定代表人（签字）：                       法定代表人（签字）：                        </w:t>
      </w:r>
    </w:p>
    <w:p>
      <w:pPr>
        <w:widowControl/>
        <w:jc w:val="left"/>
        <w:rPr>
          <w:color w:val="000000" w:themeColor="text1"/>
          <w:highlight w:val="none"/>
          <w14:textFill>
            <w14:solidFill>
              <w14:schemeClr w14:val="tx1"/>
            </w14:solidFill>
          </w14:textFill>
        </w:rPr>
      </w:pPr>
      <w:r>
        <w:rPr>
          <w:rFonts w:hint="eastAsia"/>
          <w:b/>
          <w:color w:val="000000" w:themeColor="text1"/>
          <w:highlight w:val="none"/>
          <w14:textFill>
            <w14:solidFill>
              <w14:schemeClr w14:val="tx1"/>
            </w14:solidFill>
          </w14:textFill>
        </w:rPr>
        <w:t>或委托代理人（签字）：                     或委托代理人（签字）：</w:t>
      </w:r>
      <w:r>
        <w:rPr>
          <w:rFonts w:hint="eastAsia"/>
          <w:color w:val="000000" w:themeColor="text1"/>
          <w:highlight w:val="none"/>
          <w14:textFill>
            <w14:solidFill>
              <w14:schemeClr w14:val="tx1"/>
            </w14:solidFill>
          </w14:textFill>
        </w:rPr>
        <w:t xml:space="preserve">           </w:t>
      </w:r>
    </w:p>
    <w:p>
      <w:pPr>
        <w:widowControl/>
        <w:jc w:val="left"/>
        <w:rPr>
          <w:color w:val="000000" w:themeColor="text1"/>
          <w:highlight w:val="none"/>
          <w14:textFill>
            <w14:solidFill>
              <w14:schemeClr w14:val="tx1"/>
            </w14:solidFill>
          </w14:textFill>
        </w:rPr>
      </w:pPr>
      <w:r>
        <w:rPr>
          <w:color w:val="000000" w:themeColor="text1"/>
          <w:highlight w:val="none"/>
          <w14:textFill>
            <w14:solidFill>
              <w14:schemeClr w14:val="tx1"/>
            </w14:solidFill>
          </w14:textFill>
        </w:rPr>
        <w:br w:type="page"/>
      </w:r>
    </w:p>
    <w:p>
      <w:pPr>
        <w:spacing w:line="520" w:lineRule="exact"/>
        <w:outlineLvl w:val="0"/>
        <w:rPr>
          <w:rFonts w:ascii="Cambria" w:hAnsi="Cambria"/>
          <w:b/>
          <w:bCs/>
          <w:color w:val="000000" w:themeColor="text1"/>
          <w:sz w:val="28"/>
          <w:szCs w:val="28"/>
          <w:highlight w:val="none"/>
          <w14:textFill>
            <w14:solidFill>
              <w14:schemeClr w14:val="tx1"/>
            </w14:solidFill>
          </w14:textFill>
        </w:rPr>
      </w:pPr>
      <w:bookmarkStart w:id="1070" w:name="_Toc8136"/>
      <w:bookmarkStart w:id="1071" w:name="_Toc31961"/>
      <w:bookmarkStart w:id="1072" w:name="_Toc118446923"/>
      <w:r>
        <w:rPr>
          <w:rFonts w:hint="eastAsia" w:ascii="Cambria" w:hAnsi="Cambria"/>
          <w:b/>
          <w:bCs/>
          <w:color w:val="000000" w:themeColor="text1"/>
          <w:sz w:val="28"/>
          <w:szCs w:val="28"/>
          <w:highlight w:val="none"/>
          <w14:textFill>
            <w14:solidFill>
              <w14:schemeClr w14:val="tx1"/>
            </w14:solidFill>
          </w14:textFill>
        </w:rPr>
        <w:t>附件16《安全管理专篇》</w:t>
      </w:r>
      <w:bookmarkEnd w:id="1070"/>
      <w:bookmarkEnd w:id="1071"/>
      <w:bookmarkEnd w:id="1072"/>
    </w:p>
    <w:p>
      <w:pPr>
        <w:tabs>
          <w:tab w:val="left" w:pos="3928"/>
        </w:tabs>
        <w:spacing w:line="360" w:lineRule="auto"/>
        <w:jc w:val="center"/>
        <w:rPr>
          <w:b/>
          <w:color w:val="000000" w:themeColor="text1"/>
          <w:sz w:val="24"/>
          <w:szCs w:val="24"/>
          <w:highlight w:val="none"/>
          <w14:textFill>
            <w14:solidFill>
              <w14:schemeClr w14:val="tx1"/>
            </w14:solidFill>
          </w14:textFill>
        </w:rPr>
      </w:pPr>
      <w:r>
        <w:rPr>
          <w:rFonts w:hint="eastAsia"/>
          <w:b/>
          <w:color w:val="000000" w:themeColor="text1"/>
          <w:sz w:val="32"/>
          <w:szCs w:val="32"/>
          <w:highlight w:val="none"/>
          <w14:textFill>
            <w14:solidFill>
              <w14:schemeClr w14:val="tx1"/>
            </w14:solidFill>
          </w14:textFill>
        </w:rPr>
        <w:t>安全管理专篇</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73" w:name="_Toc213660313"/>
      <w:bookmarkStart w:id="1074" w:name="_Toc41569103"/>
      <w:bookmarkStart w:id="1075" w:name="_Toc213658612"/>
      <w:bookmarkStart w:id="1076" w:name="一"/>
      <w:r>
        <w:rPr>
          <w:rFonts w:hint="eastAsia" w:hAnsi="宋体" w:cs="新宋体-18030"/>
          <w:b/>
          <w:bCs/>
          <w:color w:val="000000" w:themeColor="text1"/>
          <w:sz w:val="24"/>
          <w:szCs w:val="24"/>
          <w:highlight w:val="none"/>
          <w14:textFill>
            <w14:solidFill>
              <w14:schemeClr w14:val="tx1"/>
            </w14:solidFill>
          </w14:textFill>
        </w:rPr>
        <w:t>总则</w:t>
      </w:r>
      <w:bookmarkEnd w:id="1073"/>
      <w:bookmarkEnd w:id="1074"/>
      <w:bookmarkEnd w:id="1075"/>
    </w:p>
    <w:bookmarkEnd w:id="1076"/>
    <w:p>
      <w:pPr>
        <w:snapToGrid w:val="0"/>
        <w:spacing w:line="360" w:lineRule="auto"/>
        <w:ind w:left="424" w:leftChars="202" w:firstLine="480" w:firstLineChars="200"/>
        <w:rPr>
          <w:rFonts w:hAnsi="宋体" w:cs="新宋体-18030"/>
          <w:color w:val="000000" w:themeColor="text1"/>
          <w:sz w:val="24"/>
          <w:szCs w:val="24"/>
          <w:highlight w:val="none"/>
          <w14:textFill>
            <w14:solidFill>
              <w14:schemeClr w14:val="tx1"/>
            </w14:solidFill>
          </w14:textFill>
        </w:rPr>
      </w:pPr>
      <w:r>
        <w:rPr>
          <w:rFonts w:hint="eastAsia" w:hAnsi="宋体" w:cs="新宋体-18030"/>
          <w:color w:val="000000" w:themeColor="text1"/>
          <w:sz w:val="24"/>
          <w:szCs w:val="24"/>
          <w:highlight w:val="none"/>
          <w14:textFill>
            <w14:solidFill>
              <w14:schemeClr w14:val="tx1"/>
            </w14:solidFill>
          </w14:textFill>
        </w:rPr>
        <w:t>依据中华人民共和国职业健康、安全生产类、环境保护类相关法律、法规、标准的要求</w:t>
      </w:r>
      <w:r>
        <w:rPr>
          <w:rFonts w:hint="eastAsia" w:hAnsi="宋体" w:cs="新宋体-18030"/>
          <w:bCs/>
          <w:color w:val="000000" w:themeColor="text1"/>
          <w:sz w:val="24"/>
          <w:szCs w:val="24"/>
          <w:highlight w:val="none"/>
          <w14:textFill>
            <w14:solidFill>
              <w14:schemeClr w14:val="tx1"/>
            </w14:solidFill>
          </w14:textFill>
        </w:rPr>
        <w:t>，</w:t>
      </w:r>
      <w:r>
        <w:rPr>
          <w:rFonts w:hint="eastAsia" w:hAnsi="宋体" w:cs="新宋体-18030"/>
          <w:color w:val="000000" w:themeColor="text1"/>
          <w:sz w:val="24"/>
          <w:szCs w:val="24"/>
          <w:highlight w:val="none"/>
          <w14:textFill>
            <w14:solidFill>
              <w14:schemeClr w14:val="tx1"/>
            </w14:solidFill>
          </w14:textFill>
        </w:rPr>
        <w:t>发包人对承包人承包合同规定的活动中的职业健康、安全生产和环境保护（以下简称安全）工作实行统一的协调、管理和指导。</w:t>
      </w:r>
    </w:p>
    <w:p>
      <w:pPr>
        <w:snapToGrid w:val="0"/>
        <w:spacing w:line="360" w:lineRule="auto"/>
        <w:ind w:left="424" w:leftChars="202" w:firstLine="482" w:firstLineChars="200"/>
        <w:rPr>
          <w:rFonts w:hAnsi="宋体" w:cs="新宋体-18030"/>
          <w:b/>
          <w:color w:val="000000" w:themeColor="text1"/>
          <w:sz w:val="24"/>
          <w:szCs w:val="24"/>
          <w:highlight w:val="none"/>
          <w14:textFill>
            <w14:solidFill>
              <w14:schemeClr w14:val="tx1"/>
            </w14:solidFill>
          </w14:textFill>
        </w:rPr>
      </w:pPr>
      <w:r>
        <w:rPr>
          <w:rFonts w:hint="eastAsia" w:hAnsi="宋体" w:cs="新宋体-18030"/>
          <w:b/>
          <w:color w:val="000000" w:themeColor="text1"/>
          <w:sz w:val="24"/>
          <w:szCs w:val="24"/>
          <w:highlight w:val="none"/>
          <w14:textFill>
            <w14:solidFill>
              <w14:schemeClr w14:val="tx1"/>
            </w14:solidFill>
          </w14:textFill>
        </w:rPr>
        <w:t>本安全管理专篇为发包人与承包人签订的《粤海•云港城项目9#地块工程施工总承包合同》的附件，专篇内容适用于云港城项目9#地块的工程项目。本地块的分包人也须遵守本专篇的相关要求，如分包人违反本专篇的要求，按总承包合同的约定，由分包人向承包人支付违约金，承包人向发包人支付违约金，相关违约金在当期进度款中扣除。</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77" w:name="_Toc213658613"/>
      <w:bookmarkStart w:id="1078" w:name="_Toc213660314"/>
      <w:bookmarkStart w:id="1079" w:name="_Toc41569104"/>
      <w:bookmarkStart w:id="1080" w:name="二"/>
      <w:r>
        <w:rPr>
          <w:rFonts w:hint="eastAsia" w:hAnsi="宋体" w:cs="新宋体-18030"/>
          <w:b/>
          <w:bCs/>
          <w:color w:val="000000" w:themeColor="text1"/>
          <w:sz w:val="24"/>
          <w:szCs w:val="24"/>
          <w:highlight w:val="none"/>
          <w14:textFill>
            <w14:solidFill>
              <w14:schemeClr w14:val="tx1"/>
            </w14:solidFill>
          </w14:textFill>
        </w:rPr>
        <w:t>法律法规</w:t>
      </w:r>
      <w:bookmarkEnd w:id="1077"/>
      <w:bookmarkEnd w:id="1078"/>
      <w:bookmarkEnd w:id="1079"/>
    </w:p>
    <w:p>
      <w:pPr>
        <w:snapToGrid w:val="0"/>
        <w:spacing w:before="120" w:after="120" w:line="360" w:lineRule="auto"/>
        <w:ind w:left="418" w:leftChars="199" w:firstLine="444" w:firstLineChars="185"/>
        <w:rPr>
          <w:rFonts w:hAnsi="宋体" w:cs="新宋体-18030"/>
          <w:color w:val="000000" w:themeColor="text1"/>
          <w:sz w:val="24"/>
          <w:szCs w:val="24"/>
          <w:highlight w:val="none"/>
          <w14:textFill>
            <w14:solidFill>
              <w14:schemeClr w14:val="tx1"/>
            </w14:solidFill>
          </w14:textFill>
        </w:rPr>
      </w:pPr>
      <w:r>
        <w:rPr>
          <w:rFonts w:hint="eastAsia" w:hAnsi="宋体" w:cs="新宋体-18030"/>
          <w:color w:val="000000" w:themeColor="text1"/>
          <w:sz w:val="24"/>
          <w:szCs w:val="24"/>
          <w:highlight w:val="none"/>
          <w14:textFill>
            <w14:solidFill>
              <w14:schemeClr w14:val="tx1"/>
            </w14:solidFill>
          </w14:textFill>
        </w:rPr>
        <w:t>承包人在从事项目活动时必须遵守国家安全生产和环境保护相关的法律、法规、强制性国家标准和相关行业标准，</w:t>
      </w:r>
      <w:r>
        <w:rPr>
          <w:rFonts w:hint="eastAsia"/>
          <w:color w:val="000000" w:themeColor="text1"/>
          <w:sz w:val="24"/>
          <w:szCs w:val="24"/>
          <w:highlight w:val="none"/>
          <w14:textFill>
            <w14:solidFill>
              <w14:schemeClr w14:val="tx1"/>
            </w14:solidFill>
          </w14:textFill>
        </w:rPr>
        <w:t>当国家法律、法规、标准变更时，以新版本为准。</w:t>
      </w:r>
    </w:p>
    <w:bookmarkEnd w:id="1080"/>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81" w:name="_Toc213660316"/>
      <w:bookmarkStart w:id="1082" w:name="_Toc41569105"/>
      <w:bookmarkStart w:id="1083" w:name="_Toc213658615"/>
      <w:bookmarkStart w:id="1084" w:name="四"/>
      <w:r>
        <w:rPr>
          <w:rFonts w:hint="eastAsia" w:hAnsi="宋体" w:cs="新宋体-18030"/>
          <w:b/>
          <w:bCs/>
          <w:color w:val="000000" w:themeColor="text1"/>
          <w:sz w:val="24"/>
          <w:szCs w:val="24"/>
          <w:highlight w:val="none"/>
          <w14:textFill>
            <w14:solidFill>
              <w14:schemeClr w14:val="tx1"/>
            </w14:solidFill>
          </w14:textFill>
        </w:rPr>
        <w:t>对承包人安全、环境管理程序的要求</w:t>
      </w:r>
      <w:bookmarkEnd w:id="1081"/>
      <w:bookmarkEnd w:id="1082"/>
      <w:bookmarkEnd w:id="1083"/>
    </w:p>
    <w:bookmarkEnd w:id="1084"/>
    <w:p>
      <w:pPr>
        <w:numPr>
          <w:ilvl w:val="1"/>
          <w:numId w:val="20"/>
        </w:numPr>
        <w:tabs>
          <w:tab w:val="left" w:pos="1155"/>
          <w:tab w:val="left" w:pos="1575"/>
        </w:tabs>
        <w:snapToGrid w:val="0"/>
        <w:spacing w:before="120" w:after="120" w:line="360" w:lineRule="auto"/>
        <w:ind w:left="1155" w:hanging="730"/>
        <w:jc w:val="left"/>
        <w:rPr>
          <w:rFonts w:ascii="宋体" w:cs="新宋体-18030"/>
          <w:bCs/>
          <w:snapToGrid w:val="0"/>
          <w:color w:val="000000" w:themeColor="text1"/>
          <w:sz w:val="24"/>
          <w:szCs w:val="24"/>
          <w:highlight w:val="none"/>
          <w14:textFill>
            <w14:solidFill>
              <w14:schemeClr w14:val="tx1"/>
            </w14:solidFill>
          </w14:textFill>
        </w:rPr>
      </w:pPr>
      <w:r>
        <w:rPr>
          <w:rFonts w:hint="eastAsia" w:ascii="宋体" w:hAnsi="宋体" w:cs="新宋体-18030"/>
          <w:bCs/>
          <w:snapToGrid w:val="0"/>
          <w:color w:val="000000" w:themeColor="text1"/>
          <w:sz w:val="24"/>
          <w:szCs w:val="24"/>
          <w:highlight w:val="none"/>
          <w14:textFill>
            <w14:solidFill>
              <w14:schemeClr w14:val="tx1"/>
            </w14:solidFill>
          </w14:textFill>
        </w:rPr>
        <w:t>承包人应建立健全本单位本工程的安全管理大纲及程序体系，在合同签订后</w:t>
      </w:r>
      <w:r>
        <w:rPr>
          <w:rFonts w:ascii="宋体" w:hAnsi="宋体" w:cs="新宋体-18030"/>
          <w:bCs/>
          <w:snapToGrid w:val="0"/>
          <w:color w:val="000000" w:themeColor="text1"/>
          <w:sz w:val="24"/>
          <w:szCs w:val="24"/>
          <w:highlight w:val="none"/>
          <w14:textFill>
            <w14:solidFill>
              <w14:schemeClr w14:val="tx1"/>
            </w14:solidFill>
          </w14:textFill>
        </w:rPr>
        <w:t>1</w:t>
      </w:r>
      <w:r>
        <w:rPr>
          <w:rFonts w:hint="eastAsia" w:ascii="宋体" w:hAnsi="宋体" w:cs="新宋体-18030"/>
          <w:bCs/>
          <w:snapToGrid w:val="0"/>
          <w:color w:val="000000" w:themeColor="text1"/>
          <w:sz w:val="24"/>
          <w:szCs w:val="24"/>
          <w:highlight w:val="none"/>
          <w14:textFill>
            <w14:solidFill>
              <w14:schemeClr w14:val="tx1"/>
            </w14:solidFill>
          </w14:textFill>
        </w:rPr>
        <w:t>个月内</w:t>
      </w:r>
      <w:r>
        <w:rPr>
          <w:rFonts w:ascii="宋体" w:hAnsi="宋体" w:cs="新宋体-18030"/>
          <w:bCs/>
          <w:snapToGrid w:val="0"/>
          <w:color w:val="000000" w:themeColor="text1"/>
          <w:sz w:val="24"/>
          <w:szCs w:val="24"/>
          <w:highlight w:val="none"/>
          <w14:textFill>
            <w14:solidFill>
              <w14:schemeClr w14:val="tx1"/>
            </w14:solidFill>
          </w14:textFill>
        </w:rPr>
        <w:t>(</w:t>
      </w:r>
      <w:r>
        <w:rPr>
          <w:rFonts w:hint="eastAsia" w:ascii="宋体" w:hAnsi="宋体" w:cs="新宋体-18030"/>
          <w:bCs/>
          <w:snapToGrid w:val="0"/>
          <w:color w:val="000000" w:themeColor="text1"/>
          <w:sz w:val="24"/>
          <w:szCs w:val="24"/>
          <w:highlight w:val="none"/>
          <w14:textFill>
            <w14:solidFill>
              <w14:schemeClr w14:val="tx1"/>
            </w14:solidFill>
          </w14:textFill>
        </w:rPr>
        <w:t>工程开工前</w:t>
      </w:r>
      <w:r>
        <w:rPr>
          <w:rFonts w:ascii="宋体" w:hAnsi="宋体" w:cs="新宋体-18030"/>
          <w:bCs/>
          <w:snapToGrid w:val="0"/>
          <w:color w:val="000000" w:themeColor="text1"/>
          <w:sz w:val="24"/>
          <w:szCs w:val="24"/>
          <w:highlight w:val="none"/>
          <w14:textFill>
            <w14:solidFill>
              <w14:schemeClr w14:val="tx1"/>
            </w14:solidFill>
          </w14:textFill>
        </w:rPr>
        <w:t>)</w:t>
      </w:r>
      <w:r>
        <w:rPr>
          <w:rFonts w:hint="eastAsia" w:ascii="宋体" w:hAnsi="宋体" w:cs="新宋体-18030"/>
          <w:bCs/>
          <w:snapToGrid w:val="0"/>
          <w:color w:val="000000" w:themeColor="text1"/>
          <w:sz w:val="24"/>
          <w:szCs w:val="24"/>
          <w:highlight w:val="none"/>
          <w14:textFill>
            <w14:solidFill>
              <w14:schemeClr w14:val="tx1"/>
            </w14:solidFill>
          </w14:textFill>
        </w:rPr>
        <w:t>向发包人提供安全程序清单。</w:t>
      </w:r>
    </w:p>
    <w:p>
      <w:pPr>
        <w:numPr>
          <w:ilvl w:val="1"/>
          <w:numId w:val="20"/>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highlight w:val="none"/>
          <w14:textFill>
            <w14:solidFill>
              <w14:schemeClr w14:val="tx1"/>
            </w14:solidFill>
          </w14:textFill>
        </w:rPr>
      </w:pPr>
      <w:r>
        <w:rPr>
          <w:rFonts w:hint="eastAsia" w:hAnsi="宋体" w:cs="新宋体-18030"/>
          <w:color w:val="000000" w:themeColor="text1"/>
          <w:sz w:val="24"/>
          <w:szCs w:val="24"/>
          <w:highlight w:val="none"/>
          <w14:textFill>
            <w14:solidFill>
              <w14:schemeClr w14:val="tx1"/>
            </w14:solidFill>
          </w14:textFill>
        </w:rPr>
        <w:t>参照执行发包人的程序和其他相关规定时，不取代承包人的安全、环境管理责任，不影响或减轻承包人履行合同安全、环境条款所规定的责任。</w:t>
      </w:r>
    </w:p>
    <w:p>
      <w:pPr>
        <w:numPr>
          <w:ilvl w:val="1"/>
          <w:numId w:val="20"/>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highlight w:val="none"/>
          <w14:textFill>
            <w14:solidFill>
              <w14:schemeClr w14:val="tx1"/>
            </w14:solidFill>
          </w14:textFill>
        </w:rPr>
      </w:pPr>
      <w:r>
        <w:rPr>
          <w:rFonts w:hint="eastAsia" w:hAnsi="宋体" w:cs="新宋体-18030"/>
          <w:color w:val="000000" w:themeColor="text1"/>
          <w:sz w:val="24"/>
          <w:szCs w:val="24"/>
          <w:highlight w:val="none"/>
          <w14:textFill>
            <w14:solidFill>
              <w14:schemeClr w14:val="tx1"/>
            </w14:solidFill>
          </w14:textFill>
        </w:rPr>
        <w:t>承包人编制的所有安全大纲、程序、方案必须符合国家和当地法律法规及发包人程序规范要求，在</w:t>
      </w:r>
      <w:r>
        <w:rPr>
          <w:rFonts w:hint="eastAsia" w:ascii="宋体" w:hAnsi="宋体" w:cs="新宋体-18030"/>
          <w:bCs/>
          <w:snapToGrid w:val="0"/>
          <w:color w:val="000000" w:themeColor="text1"/>
          <w:sz w:val="24"/>
          <w:szCs w:val="24"/>
          <w:highlight w:val="none"/>
          <w14:textFill>
            <w14:solidFill>
              <w14:schemeClr w14:val="tx1"/>
            </w14:solidFill>
          </w14:textFill>
        </w:rPr>
        <w:t>合同签订后</w:t>
      </w:r>
      <w:r>
        <w:rPr>
          <w:rFonts w:ascii="宋体" w:hAnsi="宋体" w:cs="新宋体-18030"/>
          <w:bCs/>
          <w:snapToGrid w:val="0"/>
          <w:color w:val="000000" w:themeColor="text1"/>
          <w:sz w:val="24"/>
          <w:szCs w:val="24"/>
          <w:highlight w:val="none"/>
          <w14:textFill>
            <w14:solidFill>
              <w14:schemeClr w14:val="tx1"/>
            </w14:solidFill>
          </w14:textFill>
        </w:rPr>
        <w:t>1</w:t>
      </w:r>
      <w:r>
        <w:rPr>
          <w:rFonts w:hint="eastAsia" w:ascii="宋体" w:hAnsi="宋体" w:cs="新宋体-18030"/>
          <w:bCs/>
          <w:snapToGrid w:val="0"/>
          <w:color w:val="000000" w:themeColor="text1"/>
          <w:sz w:val="24"/>
          <w:szCs w:val="24"/>
          <w:highlight w:val="none"/>
          <w14:textFill>
            <w14:solidFill>
              <w14:schemeClr w14:val="tx1"/>
            </w14:solidFill>
          </w14:textFill>
        </w:rPr>
        <w:t>个月内</w:t>
      </w:r>
      <w:r>
        <w:rPr>
          <w:rFonts w:ascii="宋体" w:hAnsi="宋体" w:cs="新宋体-18030"/>
          <w:bCs/>
          <w:snapToGrid w:val="0"/>
          <w:color w:val="000000" w:themeColor="text1"/>
          <w:sz w:val="24"/>
          <w:szCs w:val="24"/>
          <w:highlight w:val="none"/>
          <w14:textFill>
            <w14:solidFill>
              <w14:schemeClr w14:val="tx1"/>
            </w14:solidFill>
          </w14:textFill>
        </w:rPr>
        <w:t>(</w:t>
      </w:r>
      <w:r>
        <w:rPr>
          <w:rFonts w:hint="eastAsia" w:ascii="宋体" w:hAnsi="宋体" w:cs="新宋体-18030"/>
          <w:bCs/>
          <w:snapToGrid w:val="0"/>
          <w:color w:val="000000" w:themeColor="text1"/>
          <w:sz w:val="24"/>
          <w:szCs w:val="24"/>
          <w:highlight w:val="none"/>
          <w14:textFill>
            <w14:solidFill>
              <w14:schemeClr w14:val="tx1"/>
            </w14:solidFill>
          </w14:textFill>
        </w:rPr>
        <w:t>工程开工前</w:t>
      </w:r>
      <w:r>
        <w:rPr>
          <w:rFonts w:ascii="宋体" w:hAnsi="宋体" w:cs="新宋体-18030"/>
          <w:bCs/>
          <w:snapToGrid w:val="0"/>
          <w:color w:val="000000" w:themeColor="text1"/>
          <w:sz w:val="24"/>
          <w:szCs w:val="24"/>
          <w:highlight w:val="none"/>
          <w14:textFill>
            <w14:solidFill>
              <w14:schemeClr w14:val="tx1"/>
            </w14:solidFill>
          </w14:textFill>
        </w:rPr>
        <w:t>)</w:t>
      </w:r>
      <w:r>
        <w:rPr>
          <w:rFonts w:hint="eastAsia" w:ascii="宋体" w:hAnsi="宋体" w:cs="新宋体-18030"/>
          <w:bCs/>
          <w:snapToGrid w:val="0"/>
          <w:color w:val="000000" w:themeColor="text1"/>
          <w:sz w:val="24"/>
          <w:szCs w:val="24"/>
          <w:highlight w:val="none"/>
          <w14:textFill>
            <w14:solidFill>
              <w14:schemeClr w14:val="tx1"/>
            </w14:solidFill>
          </w14:textFill>
        </w:rPr>
        <w:t>向发包人提供，批准生效后方可执行。</w:t>
      </w:r>
    </w:p>
    <w:p>
      <w:pPr>
        <w:numPr>
          <w:ilvl w:val="1"/>
          <w:numId w:val="20"/>
        </w:numPr>
        <w:tabs>
          <w:tab w:val="left" w:pos="1155"/>
          <w:tab w:val="left" w:pos="1575"/>
        </w:tabs>
        <w:snapToGrid w:val="0"/>
        <w:spacing w:before="120" w:after="120" w:line="360" w:lineRule="auto"/>
        <w:ind w:left="1155" w:hanging="730"/>
        <w:jc w:val="left"/>
        <w:rPr>
          <w:rFonts w:hAnsi="宋体" w:cs="新宋体-18030"/>
          <w:color w:val="000000" w:themeColor="text1"/>
          <w:sz w:val="24"/>
          <w:szCs w:val="24"/>
          <w:highlight w:val="none"/>
          <w14:textFill>
            <w14:solidFill>
              <w14:schemeClr w14:val="tx1"/>
            </w14:solidFill>
          </w14:textFill>
        </w:rPr>
      </w:pPr>
      <w:r>
        <w:rPr>
          <w:rFonts w:hint="eastAsia" w:ascii="宋体" w:hAnsi="宋体" w:cs="新宋体-18030"/>
          <w:bCs/>
          <w:snapToGrid w:val="0"/>
          <w:color w:val="000000" w:themeColor="text1"/>
          <w:sz w:val="24"/>
          <w:szCs w:val="24"/>
          <w:highlight w:val="none"/>
          <w14:textFill>
            <w14:solidFill>
              <w14:schemeClr w14:val="tx1"/>
            </w14:solidFill>
          </w14:textFill>
        </w:rPr>
        <w:t>承包人在合同签订后公司主要负责人（董事长、总经理）、项目经理须到发包人所在地做安全管理汇报（全程录像）。</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85" w:name="五"/>
      <w:bookmarkEnd w:id="1085"/>
      <w:bookmarkStart w:id="1086" w:name="_Toc41569106"/>
      <w:bookmarkStart w:id="1087" w:name="_Toc213660317"/>
      <w:bookmarkStart w:id="1088" w:name="_Toc213658616"/>
      <w:r>
        <w:rPr>
          <w:rFonts w:hint="eastAsia" w:hAnsi="宋体" w:cs="新宋体-18030"/>
          <w:b/>
          <w:bCs/>
          <w:color w:val="000000" w:themeColor="text1"/>
          <w:sz w:val="24"/>
          <w:szCs w:val="24"/>
          <w:highlight w:val="none"/>
          <w14:textFill>
            <w14:solidFill>
              <w14:schemeClr w14:val="tx1"/>
            </w14:solidFill>
          </w14:textFill>
        </w:rPr>
        <w:t>安全、环境目标</w:t>
      </w:r>
      <w:bookmarkEnd w:id="1086"/>
      <w:bookmarkEnd w:id="1087"/>
      <w:bookmarkEnd w:id="1088"/>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承包人安全管理要求应实现以下安全目标：</w:t>
      </w:r>
    </w:p>
    <w:p>
      <w:pPr>
        <w:numPr>
          <w:ilvl w:val="2"/>
          <w:numId w:val="20"/>
        </w:numPr>
        <w:tabs>
          <w:tab w:val="left" w:pos="1260"/>
        </w:tabs>
        <w:snapToGrid w:val="0"/>
        <w:spacing w:before="120" w:after="120" w:line="360" w:lineRule="auto"/>
        <w:ind w:left="1260" w:hanging="409"/>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不发生死亡及以上安全生产责任事故；员工重伤及轻伤率不超过千分之一；</w:t>
      </w:r>
    </w:p>
    <w:p>
      <w:pPr>
        <w:numPr>
          <w:ilvl w:val="2"/>
          <w:numId w:val="20"/>
        </w:numPr>
        <w:tabs>
          <w:tab w:val="left" w:pos="1260"/>
        </w:tabs>
        <w:snapToGrid w:val="0"/>
        <w:spacing w:before="120" w:after="120" w:line="360" w:lineRule="auto"/>
        <w:ind w:left="1260" w:hanging="409"/>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直接经济损失100万元以上的非人员伤亡安全生产责任事故为零；</w:t>
      </w:r>
    </w:p>
    <w:p>
      <w:pPr>
        <w:numPr>
          <w:ilvl w:val="2"/>
          <w:numId w:val="20"/>
        </w:numPr>
        <w:tabs>
          <w:tab w:val="left" w:pos="1260"/>
        </w:tabs>
        <w:snapToGrid w:val="0"/>
        <w:spacing w:before="120" w:after="120" w:line="360" w:lineRule="auto"/>
        <w:ind w:left="1260" w:hanging="409"/>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员工职业病率不超过千分之一；</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89" w:name="六"/>
      <w:bookmarkEnd w:id="1089"/>
      <w:bookmarkStart w:id="1090" w:name="_Toc213658617"/>
      <w:bookmarkStart w:id="1091" w:name="_Toc213660318"/>
      <w:bookmarkStart w:id="1092" w:name="_Toc41569107"/>
      <w:r>
        <w:rPr>
          <w:rFonts w:hint="eastAsia" w:hAnsi="宋体" w:cs="新宋体-18030"/>
          <w:b/>
          <w:bCs/>
          <w:color w:val="000000" w:themeColor="text1"/>
          <w:sz w:val="24"/>
          <w:szCs w:val="24"/>
          <w:highlight w:val="none"/>
          <w14:textFill>
            <w14:solidFill>
              <w14:schemeClr w14:val="tx1"/>
            </w14:solidFill>
          </w14:textFill>
        </w:rPr>
        <w:t>责任</w:t>
      </w:r>
      <w:bookmarkEnd w:id="1090"/>
      <w:bookmarkEnd w:id="1091"/>
      <w:r>
        <w:rPr>
          <w:rFonts w:hint="eastAsia" w:hAnsi="宋体" w:cs="新宋体-18030"/>
          <w:b/>
          <w:bCs/>
          <w:color w:val="000000" w:themeColor="text1"/>
          <w:sz w:val="24"/>
          <w:szCs w:val="24"/>
          <w:highlight w:val="none"/>
          <w14:textFill>
            <w14:solidFill>
              <w14:schemeClr w14:val="tx1"/>
            </w14:solidFill>
          </w14:textFill>
        </w:rPr>
        <w:t>承担</w:t>
      </w:r>
      <w:bookmarkEnd w:id="1092"/>
    </w:p>
    <w:p>
      <w:pPr>
        <w:tabs>
          <w:tab w:val="left" w:pos="1260"/>
        </w:tabs>
        <w:snapToGrid w:val="0"/>
        <w:spacing w:before="120" w:after="120" w:line="360" w:lineRule="auto"/>
        <w:ind w:left="851"/>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承包人应承诺在合同规定的活动中承担以下安全、环境责任：</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承包人的法人代表或其授权人对本合同活动的安全、环境负有全面的领导责任。</w:t>
      </w:r>
    </w:p>
    <w:p>
      <w:pPr>
        <w:numPr>
          <w:ilvl w:val="2"/>
          <w:numId w:val="20"/>
        </w:numPr>
        <w:tabs>
          <w:tab w:val="left" w:pos="1365"/>
          <w:tab w:val="clear" w:pos="1418"/>
        </w:tabs>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承包人项目经理对合同活动的安全</w:t>
      </w:r>
      <w:r>
        <w:rPr>
          <w:rFonts w:hint="eastAsia" w:ascii="宋体" w:hAnsi="宋体" w:cs="新宋体-18030"/>
          <w:bCs/>
          <w:iCs/>
          <w:color w:val="000000" w:themeColor="text1"/>
          <w:sz w:val="24"/>
          <w:szCs w:val="24"/>
          <w:highlight w:val="none"/>
          <w14:textFill>
            <w14:solidFill>
              <w14:schemeClr w14:val="tx1"/>
            </w14:solidFill>
          </w14:textFill>
        </w:rPr>
        <w:t>、环境</w:t>
      </w:r>
      <w:r>
        <w:rPr>
          <w:rFonts w:hint="eastAsia" w:ascii="宋体" w:hAnsi="宋体" w:cs="新宋体-18030"/>
          <w:bCs/>
          <w:color w:val="000000" w:themeColor="text1"/>
          <w:sz w:val="24"/>
          <w:szCs w:val="24"/>
          <w:highlight w:val="none"/>
          <w14:textFill>
            <w14:solidFill>
              <w14:schemeClr w14:val="tx1"/>
            </w14:solidFill>
          </w14:textFill>
        </w:rPr>
        <w:t>工作负有全面的直接领导责任。</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承包人应保证本单位安全生产投入的有效实施。</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承包人应承诺服从发包人对安全、环境工作的统一协调和管理。</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承包人应与分包商、供应商签订安全协议，明确双方安全职责与分工，保证分包商、供应商的资格符合发包人的要求，对施工队伍的安全实施统一管理，对分包商、供应商的安全向发包人负责。</w:t>
      </w:r>
    </w:p>
    <w:p>
      <w:pPr>
        <w:numPr>
          <w:ilvl w:val="2"/>
          <w:numId w:val="20"/>
        </w:numPr>
        <w:tabs>
          <w:tab w:val="left" w:pos="1365"/>
          <w:tab w:val="clear" w:pos="1418"/>
        </w:tabs>
        <w:snapToGrid w:val="0"/>
        <w:spacing w:before="120" w:after="120" w:line="360" w:lineRule="auto"/>
        <w:ind w:left="1365" w:hanging="514"/>
        <w:rPr>
          <w:rFonts w:ascii="宋体" w:cs="新宋体-18030"/>
          <w:bCs/>
          <w:iCs/>
          <w:color w:val="000000" w:themeColor="text1"/>
          <w:sz w:val="24"/>
          <w:szCs w:val="24"/>
          <w:highlight w:val="none"/>
          <w14:textFill>
            <w14:solidFill>
              <w14:schemeClr w14:val="tx1"/>
            </w14:solidFill>
          </w14:textFill>
        </w:rPr>
      </w:pPr>
      <w:r>
        <w:rPr>
          <w:rFonts w:hint="eastAsia" w:ascii="宋体" w:hAnsi="宋体" w:cs="新宋体-18030"/>
          <w:bCs/>
          <w:iCs/>
          <w:color w:val="000000" w:themeColor="text1"/>
          <w:sz w:val="24"/>
          <w:szCs w:val="24"/>
          <w:highlight w:val="none"/>
          <w14:textFill>
            <w14:solidFill>
              <w14:schemeClr w14:val="tx1"/>
            </w14:solidFill>
          </w14:textFill>
        </w:rPr>
        <w:t>承包人应保证采购、租赁物项的安全性能、环保性能符合国家法律、标准和发包人的要求，对其实施统一的安全管理，并向发包人负责。</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93" w:name="七"/>
      <w:bookmarkEnd w:id="1093"/>
      <w:bookmarkStart w:id="1094" w:name="_Toc213658618"/>
      <w:bookmarkStart w:id="1095" w:name="_Toc41569108"/>
      <w:bookmarkStart w:id="1096" w:name="_Toc213660319"/>
      <w:r>
        <w:rPr>
          <w:rFonts w:hint="eastAsia" w:hAnsi="宋体" w:cs="新宋体-18030"/>
          <w:b/>
          <w:bCs/>
          <w:color w:val="000000" w:themeColor="text1"/>
          <w:sz w:val="24"/>
          <w:szCs w:val="24"/>
          <w:highlight w:val="none"/>
          <w14:textFill>
            <w14:solidFill>
              <w14:schemeClr w14:val="tx1"/>
            </w14:solidFill>
          </w14:textFill>
        </w:rPr>
        <w:t>安全协议与接口协调</w:t>
      </w:r>
      <w:bookmarkEnd w:id="1094"/>
      <w:bookmarkEnd w:id="1095"/>
      <w:bookmarkEnd w:id="1096"/>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与承包人可根据实际需要（如现场风险变化或国家新的安全法规要求或合同内容变更等）依据《安全生产法》的规定签订《安全生产管理协议》，该协议作为合同双方安全生产方面的补充规定，具有与合同相同的法律效力。</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承包人应建立“管生产必须管安全”的责任落实和责任链传递机制、“现场施工区域”的安全责任落实及协调机制、承包人引入人员（包括学习人员、参观人员、供应商代表等临时人员）的安全管理和协调机制。</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承包人应指定专人作为安全协调人，与发包人的安全相关部门接口，参与协调管理。</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承包人的安全协调人应具备协调安全工作的能力和权利。发包人有权对协调人的能力和权力做出评价，对于不能胜任的协调人，发包人有权要求承包人换人；合同生效后的</w:t>
      </w:r>
      <w:r>
        <w:rPr>
          <w:rFonts w:ascii="宋体" w:hAnsi="宋体" w:cs="新宋体-18030"/>
          <w:bCs/>
          <w:color w:val="000000" w:themeColor="text1"/>
          <w:sz w:val="24"/>
          <w:szCs w:val="24"/>
          <w:highlight w:val="none"/>
          <w14:textFill>
            <w14:solidFill>
              <w14:schemeClr w14:val="tx1"/>
            </w14:solidFill>
          </w14:textFill>
        </w:rPr>
        <w:t>5</w:t>
      </w:r>
      <w:r>
        <w:rPr>
          <w:rFonts w:hint="eastAsia" w:ascii="宋体" w:hAnsi="宋体" w:cs="新宋体-18030"/>
          <w:bCs/>
          <w:color w:val="000000" w:themeColor="text1"/>
          <w:sz w:val="24"/>
          <w:szCs w:val="24"/>
          <w:highlight w:val="none"/>
          <w14:textFill>
            <w14:solidFill>
              <w14:schemeClr w14:val="tx1"/>
            </w14:solidFill>
          </w14:textFill>
        </w:rPr>
        <w:t>个工作日之内，承包人指定的安全协调人员应与发包人的安全相关部门建立联系。</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在发生同一区域多个单位施工且影响相互间的安全生产时，承包人有义务与有关单位协商，确定协调的责任和方法，必要时可签订相关协议。该协议应征求发包人的意见，并在发包人备案。</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097" w:name="八"/>
      <w:bookmarkEnd w:id="1097"/>
      <w:bookmarkStart w:id="1098" w:name="_Toc213660320"/>
      <w:bookmarkStart w:id="1099" w:name="_Toc213658619"/>
      <w:bookmarkStart w:id="1100" w:name="_Toc41569109"/>
      <w:r>
        <w:rPr>
          <w:rFonts w:hint="eastAsia" w:hAnsi="宋体" w:cs="新宋体-18030"/>
          <w:b/>
          <w:bCs/>
          <w:color w:val="000000" w:themeColor="text1"/>
          <w:sz w:val="24"/>
          <w:szCs w:val="24"/>
          <w:highlight w:val="none"/>
          <w14:textFill>
            <w14:solidFill>
              <w14:schemeClr w14:val="tx1"/>
            </w14:solidFill>
          </w14:textFill>
        </w:rPr>
        <w:t>安全监督组织与网络</w:t>
      </w:r>
      <w:bookmarkEnd w:id="1098"/>
      <w:bookmarkEnd w:id="1099"/>
      <w:bookmarkEnd w:id="1100"/>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承包人必须达到《建筑施工企业安全生产管理机构设置及专职安全生产管理人员配备办法》要求，配备足够专职安全生产管理人员。</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承包人配备项目专职安全生产管理人员应当满足下列要求：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xml:space="preserve">   （一）建筑工程、装修工程按照建筑面积配备：</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1、1万平方米以下的工程不少于1人；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2、1万～5万平方米的工程不少于2人；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3、5万平方米及以上的工程不少于3人，且按专业配备专职安全生产管理人员。</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（二）土木工程、线路管道、设备安装工程按照工程合同价配备：</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1、5000万元以下的工程不少于1人；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2、5000万～1亿元的工程不少于2人；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3、1亿元及以上的工程不少于3人，且按专业配备专职安全生产管理人员。</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承包人的分包单位配备项目专职安全生产管理人员应当满足下列要求：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（一）专业承包单位应当配置至少1人，并根据所承担的分部分项工程的工程量和施工危险程度增加。</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二）劳务分包单位施工人员在50人以下的，应当配备1名专职安全生产管理人员；50人-200人的，应当配备2名专职安全生产管理人员；200人及以上的，应当配备3名及以上专职安全生产管理人员，并根据所承担的分部分项工程施工危险实际情况增加，不得少于工程施工人员总人数的5‰。</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承包人专职安全管理人员必须持安全C证，安全负责人工作年限必须3年以上，持注册安全工程师资格证。</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如不能达到安全管理要求的岗位能力，发包人有权要求更换安全管理人员，承包方必须无条件执行。</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承包人应建立安全管理监督网络，建立诸如安全委员会或其他形式的安全协调机构，并至少每季度组织一次全体会议，必要时组织专项会议。承包人工程安质环委员会对主要管理者关键的</w:t>
      </w:r>
      <w:r>
        <w:rPr>
          <w:rFonts w:ascii="宋体" w:hAnsi="宋体" w:cs="新宋体-18030"/>
          <w:bCs/>
          <w:color w:val="000000" w:themeColor="text1"/>
          <w:sz w:val="24"/>
          <w:szCs w:val="24"/>
          <w:highlight w:val="none"/>
          <w14:textFill>
            <w14:solidFill>
              <w14:schemeClr w14:val="tx1"/>
            </w14:solidFill>
          </w14:textFill>
        </w:rPr>
        <w:t>HSE</w:t>
      </w:r>
      <w:r>
        <w:rPr>
          <w:rFonts w:hint="eastAsia" w:ascii="宋体" w:hAnsi="宋体" w:cs="新宋体-18030"/>
          <w:bCs/>
          <w:color w:val="000000" w:themeColor="text1"/>
          <w:sz w:val="24"/>
          <w:szCs w:val="24"/>
          <w:highlight w:val="none"/>
          <w14:textFill>
            <w14:solidFill>
              <w14:schemeClr w14:val="tx1"/>
            </w14:solidFill>
          </w14:textFill>
        </w:rPr>
        <w:t>职责履行情况进行检查，检查结果和改进措施输入安全委会会议纪要。</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承包人应建立生产会议上的安全议题制度。</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承包人应参加发包人组织的现场工程安全委员会，积极参与工程安全管理。</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承包人应建立领导</w:t>
      </w:r>
      <w:r>
        <w:rPr>
          <w:rFonts w:ascii="宋体" w:hAnsi="宋体" w:cs="新宋体-18030"/>
          <w:bCs/>
          <w:color w:val="000000" w:themeColor="text1"/>
          <w:sz w:val="24"/>
          <w:szCs w:val="24"/>
          <w:highlight w:val="none"/>
          <w14:textFill>
            <w14:solidFill>
              <w14:schemeClr w14:val="tx1"/>
            </w14:solidFill>
          </w14:textFill>
        </w:rPr>
        <w:t xml:space="preserve">HSE </w:t>
      </w:r>
      <w:r>
        <w:rPr>
          <w:rFonts w:hint="eastAsia" w:ascii="宋体" w:hAnsi="宋体" w:cs="新宋体-18030"/>
          <w:bCs/>
          <w:color w:val="000000" w:themeColor="text1"/>
          <w:sz w:val="24"/>
          <w:szCs w:val="24"/>
          <w:highlight w:val="none"/>
          <w14:textFill>
            <w14:solidFill>
              <w14:schemeClr w14:val="tx1"/>
            </w14:solidFill>
          </w14:textFill>
        </w:rPr>
        <w:t>管理带班巡视制度，明确高、中层管理人员</w:t>
      </w:r>
      <w:r>
        <w:rPr>
          <w:rFonts w:ascii="宋体" w:hAnsi="宋体" w:cs="新宋体-18030"/>
          <w:bCs/>
          <w:color w:val="000000" w:themeColor="text1"/>
          <w:sz w:val="24"/>
          <w:szCs w:val="24"/>
          <w:highlight w:val="none"/>
          <w14:textFill>
            <w14:solidFill>
              <w14:schemeClr w14:val="tx1"/>
            </w14:solidFill>
          </w14:textFill>
        </w:rPr>
        <w:t xml:space="preserve">HSE </w:t>
      </w:r>
      <w:r>
        <w:rPr>
          <w:rFonts w:hint="eastAsia" w:ascii="宋体" w:hAnsi="宋体" w:cs="新宋体-18030"/>
          <w:bCs/>
          <w:color w:val="000000" w:themeColor="text1"/>
          <w:sz w:val="24"/>
          <w:szCs w:val="24"/>
          <w:highlight w:val="none"/>
          <w14:textFill>
            <w14:solidFill>
              <w14:schemeClr w14:val="tx1"/>
            </w14:solidFill>
          </w14:textFill>
        </w:rPr>
        <w:t>管理巡视的具体方式、频次、参与人员等。</w:t>
      </w:r>
      <w:r>
        <w:rPr>
          <w:rFonts w:hint="eastAsia" w:ascii="宋体" w:hAnsi="宋体" w:cs="???-18030"/>
          <w:bCs/>
          <w:color w:val="000000" w:themeColor="text1"/>
          <w:sz w:val="24"/>
          <w:szCs w:val="24"/>
          <w:highlight w:val="none"/>
          <w14:textFill>
            <w14:solidFill>
              <w14:schemeClr w14:val="tx1"/>
            </w14:solidFill>
          </w14:textFill>
        </w:rPr>
        <w:t>承包人项目经理部成员</w:t>
      </w:r>
      <w:r>
        <w:rPr>
          <w:rFonts w:hint="eastAsia" w:ascii="宋体" w:hAnsi="宋体" w:cs="新宋体-18030"/>
          <w:bCs/>
          <w:color w:val="000000" w:themeColor="text1"/>
          <w:sz w:val="24"/>
          <w:szCs w:val="24"/>
          <w:highlight w:val="none"/>
          <w14:textFill>
            <w14:solidFill>
              <w14:schemeClr w14:val="tx1"/>
            </w14:solidFill>
          </w14:textFill>
        </w:rPr>
        <w:t>应每周进行现场管理巡视</w:t>
      </w:r>
      <w:r>
        <w:rPr>
          <w:rFonts w:hint="eastAsia" w:ascii="宋体" w:hAnsi="宋体" w:cs="???-18030"/>
          <w:bCs/>
          <w:color w:val="000000" w:themeColor="text1"/>
          <w:sz w:val="24"/>
          <w:szCs w:val="24"/>
          <w:highlight w:val="none"/>
          <w14:textFill>
            <w14:solidFill>
              <w14:schemeClr w14:val="tx1"/>
            </w14:solidFill>
          </w14:textFill>
        </w:rPr>
        <w:t>。</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承包人项目经理部每季度发布项目季度良好表现简报，在项目部会议室、员工食堂、施工现场主要出入口、宣传栏等醒目场所张贴，对良好表现的表扬进行推广。</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当发包人生产主管部门和安全部门的人员要求立即中止违章作业时，承包人员工应无条件立即执行；发包人有权根据现场的安全风险情况进行区域性停工或全场停工，在接到停工令后，承包人应立即停止规定范围内的施工活动，组织安全整改，停工造成的影响和损失由承包人负责承担。</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承包人应健全安全监督机制，现场如有施工，安全员必须到场监督，管理人员上班时间与工人上班时间要同步，杜绝现象出现管理真空。</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01" w:name="九"/>
      <w:bookmarkEnd w:id="1101"/>
      <w:bookmarkStart w:id="1102" w:name="_Toc41569110"/>
      <w:bookmarkStart w:id="1103" w:name="_Toc213660321"/>
      <w:bookmarkStart w:id="1104" w:name="_Toc213658620"/>
      <w:r>
        <w:rPr>
          <w:rFonts w:hint="eastAsia" w:hAnsi="宋体" w:cs="新宋体-18030"/>
          <w:b/>
          <w:bCs/>
          <w:color w:val="000000" w:themeColor="text1"/>
          <w:sz w:val="24"/>
          <w:szCs w:val="24"/>
          <w:highlight w:val="none"/>
          <w14:textFill>
            <w14:solidFill>
              <w14:schemeClr w14:val="tx1"/>
            </w14:solidFill>
          </w14:textFill>
        </w:rPr>
        <w:t>人员基本素质</w:t>
      </w:r>
      <w:bookmarkEnd w:id="1102"/>
      <w:bookmarkEnd w:id="1103"/>
      <w:bookmarkEnd w:id="1104"/>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承包人须保证施工人员（包括临时劳务人员、分包人员、劳务人员）的基本素质满足以下要求，并在申请入场证件时以书面形式予以承诺：</w:t>
      </w:r>
      <w:r>
        <w:rPr>
          <w:rFonts w:ascii="宋体" w:hAnsi="宋体" w:cs="新宋体-18030"/>
          <w:bCs/>
          <w:color w:val="000000" w:themeColor="text1"/>
          <w:sz w:val="24"/>
          <w:szCs w:val="24"/>
          <w:highlight w:val="none"/>
          <w14:textFill>
            <w14:solidFill>
              <w14:schemeClr w14:val="tx1"/>
            </w14:solidFill>
          </w14:textFill>
        </w:rPr>
        <w:t xml:space="preserve"> </w:t>
      </w:r>
    </w:p>
    <w:p>
      <w:pPr>
        <w:numPr>
          <w:ilvl w:val="2"/>
          <w:numId w:val="21"/>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承包人应在入场前对施工人员进行医学健康检查，且至少每年度进行一次医学健康检查，原则上要求由县级以上医院出具体检报告。特殊工种和特殊岗位人员应按照国家相关规定进行特殊职业能力体检。</w:t>
      </w:r>
    </w:p>
    <w:p>
      <w:pPr>
        <w:numPr>
          <w:ilvl w:val="2"/>
          <w:numId w:val="21"/>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保证入场人员身体健康，无影响工作的残疾、禁忌症，无传染病和其他影响正常工作的严重疾病，无刑事案件牵连。</w:t>
      </w:r>
    </w:p>
    <w:p>
      <w:pPr>
        <w:numPr>
          <w:ilvl w:val="2"/>
          <w:numId w:val="21"/>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工作经验、经历及身体素质应能与所从事的工种相适应。</w:t>
      </w:r>
    </w:p>
    <w:p>
      <w:pPr>
        <w:numPr>
          <w:ilvl w:val="1"/>
          <w:numId w:val="20"/>
        </w:numPr>
        <w:tabs>
          <w:tab w:val="left" w:pos="851"/>
        </w:tabs>
        <w:snapToGrid w:val="0"/>
        <w:spacing w:before="120" w:after="120" w:line="360" w:lineRule="auto"/>
        <w:ind w:left="1134" w:leftChars="338" w:hanging="424" w:hangingChars="177"/>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承包人的主要负责人、项目负责人、专职安全生产管理人员和特种从业人员应当国家及地方行政主管部门或者其他有关部门考核合格后方可任职。</w:t>
      </w:r>
    </w:p>
    <w:p>
      <w:pPr>
        <w:numPr>
          <w:ilvl w:val="1"/>
          <w:numId w:val="20"/>
        </w:numPr>
        <w:tabs>
          <w:tab w:val="left" w:pos="851"/>
        </w:tabs>
        <w:snapToGrid w:val="0"/>
        <w:spacing w:before="120" w:after="120" w:line="360" w:lineRule="auto"/>
        <w:ind w:left="1134" w:leftChars="338" w:hanging="424" w:hangingChars="177"/>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发包人及其上级单位（业主、政府部门等）有权对承包人人员的基本素质情况进行检查，对不能满足要求的人员有权清退出场，由此产生的经济和法律后果由承包人承担</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05" w:name="十"/>
      <w:bookmarkEnd w:id="1105"/>
      <w:bookmarkStart w:id="1106" w:name="_Toc213660322"/>
      <w:bookmarkStart w:id="1107" w:name="_Toc41569111"/>
      <w:bookmarkStart w:id="1108" w:name="_Toc213658621"/>
      <w:r>
        <w:rPr>
          <w:rFonts w:hint="eastAsia" w:hAnsi="宋体" w:cs="新宋体-18030"/>
          <w:b/>
          <w:bCs/>
          <w:color w:val="000000" w:themeColor="text1"/>
          <w:sz w:val="24"/>
          <w:szCs w:val="24"/>
          <w:highlight w:val="none"/>
          <w14:textFill>
            <w14:solidFill>
              <w14:schemeClr w14:val="tx1"/>
            </w14:solidFill>
          </w14:textFill>
        </w:rPr>
        <w:t>安全培训与授权</w:t>
      </w:r>
      <w:bookmarkEnd w:id="1106"/>
      <w:bookmarkEnd w:id="1107"/>
      <w:bookmarkEnd w:id="1108"/>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承包人应建立健全安全培训和考核制度，</w:t>
      </w:r>
      <w:r>
        <w:rPr>
          <w:rFonts w:hint="eastAsia" w:ascii="ˎ̥" w:hAnsi="ˎ̥"/>
          <w:color w:val="000000" w:themeColor="text1"/>
          <w:sz w:val="24"/>
          <w:szCs w:val="24"/>
          <w:highlight w:val="none"/>
          <w14:textFill>
            <w14:solidFill>
              <w14:schemeClr w14:val="tx1"/>
            </w14:solidFill>
          </w14:textFill>
        </w:rPr>
        <w:t>对项目</w:t>
      </w:r>
      <w:r>
        <w:rPr>
          <w:rFonts w:ascii="ˎ̥" w:hAnsi="ˎ̥"/>
          <w:color w:val="000000" w:themeColor="text1"/>
          <w:sz w:val="24"/>
          <w:szCs w:val="24"/>
          <w:highlight w:val="none"/>
          <w14:textFill>
            <w14:solidFill>
              <w14:schemeClr w14:val="tx1"/>
            </w14:solidFill>
          </w14:textFill>
        </w:rPr>
        <w:t>主要负责人、安全生产管理人员、特种作业人员和其他从业人员</w:t>
      </w:r>
      <w:r>
        <w:rPr>
          <w:rFonts w:hint="eastAsia" w:ascii="ˎ̥" w:hAnsi="ˎ̥"/>
          <w:color w:val="000000" w:themeColor="text1"/>
          <w:sz w:val="24"/>
          <w:szCs w:val="24"/>
          <w:highlight w:val="none"/>
          <w14:textFill>
            <w14:solidFill>
              <w14:schemeClr w14:val="tx1"/>
            </w14:solidFill>
          </w14:textFill>
        </w:rPr>
        <w:t>进行安全培训，使其</w:t>
      </w:r>
      <w:r>
        <w:rPr>
          <w:rFonts w:ascii="ˎ̥" w:hAnsi="ˎ̥"/>
          <w:color w:val="000000" w:themeColor="text1"/>
          <w:sz w:val="24"/>
          <w:szCs w:val="24"/>
          <w:highlight w:val="none"/>
          <w14:textFill>
            <w14:solidFill>
              <w14:schemeClr w14:val="tx1"/>
            </w14:solidFill>
          </w14:textFill>
        </w:rPr>
        <w:t>熟悉有关安全生产规章制度和安全操作规程，具备必要的安全生产知识，掌握本岗位的安全操作技能，增强预防事故、控制职业危害和应急处理的能力。</w:t>
      </w:r>
      <w:r>
        <w:rPr>
          <w:rFonts w:hint="eastAsia" w:ascii="ˎ̥" w:hAnsi="ˎ̥"/>
          <w:color w:val="000000" w:themeColor="text1"/>
          <w:sz w:val="24"/>
          <w:szCs w:val="24"/>
          <w:highlight w:val="none"/>
          <w14:textFill>
            <w14:solidFill>
              <w14:schemeClr w14:val="tx1"/>
            </w14:solidFill>
          </w14:textFill>
        </w:rPr>
        <w:t>承包人所有入场人员必须接受入场三级教育和定期安全复训，</w:t>
      </w:r>
      <w:r>
        <w:rPr>
          <w:rFonts w:ascii="ˎ̥" w:hAnsi="ˎ̥"/>
          <w:color w:val="000000" w:themeColor="text1"/>
          <w:sz w:val="24"/>
          <w:szCs w:val="24"/>
          <w:highlight w:val="none"/>
          <w14:textFill>
            <w14:solidFill>
              <w14:schemeClr w14:val="tx1"/>
            </w14:solidFill>
          </w14:textFill>
        </w:rPr>
        <w:t>未经安全生产培训合格的从业人员，不得上岗作业。</w:t>
      </w:r>
    </w:p>
    <w:p>
      <w:pPr>
        <w:numPr>
          <w:ilvl w:val="1"/>
          <w:numId w:val="20"/>
        </w:numPr>
        <w:tabs>
          <w:tab w:val="left" w:pos="1155"/>
        </w:tabs>
        <w:snapToGrid w:val="0"/>
        <w:spacing w:before="120" w:after="120" w:line="360" w:lineRule="auto"/>
        <w:ind w:left="1134" w:hanging="714"/>
        <w:rPr>
          <w:rFonts w:hint="eastAsia" w:ascii="ˎ̥" w:hAnsi="ˎ̥"/>
          <w:color w:val="000000" w:themeColor="text1"/>
          <w:sz w:val="24"/>
          <w:szCs w:val="24"/>
          <w:highlight w:val="none"/>
          <w14:textFill>
            <w14:solidFill>
              <w14:schemeClr w14:val="tx1"/>
            </w14:solidFill>
          </w14:textFill>
        </w:rPr>
      </w:pPr>
      <w:r>
        <w:rPr>
          <w:rFonts w:hint="eastAsia" w:ascii="ˎ̥" w:hAnsi="ˎ̥"/>
          <w:color w:val="000000" w:themeColor="text1"/>
          <w:sz w:val="24"/>
          <w:szCs w:val="24"/>
          <w:highlight w:val="none"/>
          <w14:textFill>
            <w14:solidFill>
              <w14:schemeClr w14:val="tx1"/>
            </w14:solidFill>
          </w14:textFill>
        </w:rPr>
        <w:t>承包人应根据工程进展和需要编制培训教材和培训滚动计划，并报发包人备案。承包人应根据培训安排组织考试，并为每一位入场人员建立安全培训档案。</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承包人应建设有专门的培训教室，并且培训教室配备有良好的培训设施，包括桌椅、投影仪、电脑、音响、空调等。同时根据施工规模和员工数量配备情况对培训设施必要的增加、更新。</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承包人引入的学习人员、参观人员、供应商代表等负有同样的安全培训的责任，包括入场安全培训和现场作业过程安全监督。</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必要时，发包人有权对承包人进行专项安全培训和考核，承包人应予组织、配合。</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在开工前向发包人安全部门提供特殊工种人员的清单、统计资料和证书复印件，在发包人安全部门备案。承包人开工后，应定期对本单位三类人员（项目主要负责人、安全管理人员和特种从业人员）资质进行统计和核实，确保其资质满足要求，并报发包人备案。</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承包人在发包人安全部门备案的岗位包括但不限于以下内容：项目经理、专职安全管理人员、消防负责人等，</w:t>
      </w:r>
      <w:bookmarkStart w:id="1109" w:name="OLE_LINK7"/>
      <w:bookmarkStart w:id="1110" w:name="OLE_LINK8"/>
      <w:r>
        <w:rPr>
          <w:rFonts w:hint="eastAsia" w:ascii="宋体" w:hAnsi="宋体" w:cs="新宋体-18030"/>
          <w:bCs/>
          <w:color w:val="000000" w:themeColor="text1"/>
          <w:sz w:val="24"/>
          <w:szCs w:val="24"/>
          <w:highlight w:val="none"/>
          <w14:textFill>
            <w14:solidFill>
              <w14:schemeClr w14:val="tx1"/>
            </w14:solidFill>
          </w14:textFill>
        </w:rPr>
        <w:t>每个岗位都必须有人负责</w:t>
      </w:r>
      <w:bookmarkEnd w:id="1109"/>
      <w:bookmarkEnd w:id="1110"/>
      <w:r>
        <w:rPr>
          <w:rFonts w:hint="eastAsia" w:ascii="宋体" w:hAnsi="宋体" w:cs="新宋体-18030"/>
          <w:bCs/>
          <w:color w:val="000000" w:themeColor="text1"/>
          <w:sz w:val="24"/>
          <w:szCs w:val="24"/>
          <w:highlight w:val="none"/>
          <w14:textFill>
            <w14:solidFill>
              <w14:schemeClr w14:val="tx1"/>
            </w14:solidFill>
          </w14:textFill>
        </w:rPr>
        <w:t>，如有变动及时通知发包人。</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承包人的项目经理、施工经理、安全负责人和主要管理人员应认真学习合同中的安全管理部分的条款及发包人的培训要求。</w:t>
      </w:r>
    </w:p>
    <w:p>
      <w:pPr>
        <w:numPr>
          <w:ilvl w:val="0"/>
          <w:numId w:val="20"/>
        </w:numPr>
        <w:snapToGrid w:val="0"/>
        <w:spacing w:before="120" w:after="120" w:line="360" w:lineRule="auto"/>
        <w:outlineLvl w:val="2"/>
        <w:rPr>
          <w:rFonts w:ascii="宋体" w:cs="新宋体-18030"/>
          <w:b/>
          <w:bCs/>
          <w:color w:val="000000" w:themeColor="text1"/>
          <w:sz w:val="24"/>
          <w:szCs w:val="24"/>
          <w:highlight w:val="none"/>
          <w14:textFill>
            <w14:solidFill>
              <w14:schemeClr w14:val="tx1"/>
            </w14:solidFill>
          </w14:textFill>
        </w:rPr>
      </w:pPr>
      <w:bookmarkStart w:id="1111" w:name="十一"/>
      <w:bookmarkEnd w:id="1111"/>
      <w:bookmarkStart w:id="1112" w:name="_Toc41569112"/>
      <w:bookmarkStart w:id="1113" w:name="_Toc213660323"/>
      <w:bookmarkStart w:id="1114" w:name="_Toc213658622"/>
      <w:r>
        <w:rPr>
          <w:rFonts w:hint="eastAsia" w:ascii="宋体" w:hAnsi="宋体" w:cs="新宋体-18030"/>
          <w:b/>
          <w:bCs/>
          <w:color w:val="000000" w:themeColor="text1"/>
          <w:sz w:val="24"/>
          <w:szCs w:val="24"/>
          <w:highlight w:val="none"/>
          <w14:textFill>
            <w14:solidFill>
              <w14:schemeClr w14:val="tx1"/>
            </w14:solidFill>
          </w14:textFill>
        </w:rPr>
        <w:t>入场控制</w:t>
      </w:r>
      <w:bookmarkEnd w:id="1112"/>
      <w:bookmarkEnd w:id="1113"/>
      <w:bookmarkEnd w:id="1114"/>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入场前安全检查的基本内容包括：安全责任制建设、安全投入、危害识别和风险分析、施工机械的安全状况、安全工器具和材料、安全培训教材和教员、专职安全人员的到岗情况、培训的有效性、人员控制、个人劳动保护用品的发放、防灾物资配备情况等内容。一般情况下，承包人入场前必须满足（但不限于）以下各条件：</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已建立安全责任制且主要部门的责任人已到岗，已建立安全责任考核的制度，包括奖惩制度。</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安全专职机构已经成立，建立了现场安全组织，确定了安全协调员，人员数量和资格满足合同要求，并向发包人安全部门递交安全专职人员名单。</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向发包人安全部门提供书面材料，说明分包商及使用临时劳务工的情况（至少根据前三个月的施工计划）。这些情况应包括活动的内容、人数、与分包商合作的历史、劳务工来源、劳务单位资质等。承包人在办理入场证件时应保证已经为上述职工购买了工伤保险及建筑工程团体人身意外伤害保险或者相应保障的雇主责任保险。</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已按“安全投入项目清单”制定了安全预算和采购计划（至少包括前三个月活动的需要）。</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已完成危险、危害、环境因素识别和风险分析报告（至少包括入场后前三个月与施工计划相应的风险和工业危害分析）及应对措施。</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已完成施工机械、作业材料、安全工器具准备情况的报告和证明资料，应提供各类安全专用器材、仪表的清单（品种和数量，至少包括入场后前三个月的活动的需要）。</w:t>
      </w:r>
    </w:p>
    <w:p>
      <w:pPr>
        <w:numPr>
          <w:ilvl w:val="2"/>
          <w:numId w:val="22"/>
        </w:numPr>
        <w:snapToGrid w:val="0"/>
        <w:spacing w:before="120" w:after="120" w:line="360" w:lineRule="auto"/>
        <w:ind w:left="1365" w:hanging="5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已完成首批人员培训（至少包括前一个月进场的员工）、个人劳动保护用品的发放。</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承包人采购、租赁的安全防护用具、机械设备、施工机具及配件，应当具有生产</w:t>
      </w:r>
      <w:r>
        <w:rPr>
          <w:rFonts w:ascii="宋体" w:hAnsi="宋体" w:cs="新宋体-18030"/>
          <w:bCs/>
          <w:color w:val="000000" w:themeColor="text1"/>
          <w:sz w:val="24"/>
          <w:szCs w:val="24"/>
          <w:highlight w:val="none"/>
          <w14:textFill>
            <w14:solidFill>
              <w14:schemeClr w14:val="tx1"/>
            </w14:solidFill>
          </w14:textFill>
        </w:rPr>
        <w:t>(</w:t>
      </w:r>
      <w:r>
        <w:rPr>
          <w:rFonts w:hint="eastAsia" w:ascii="宋体" w:hAnsi="宋体" w:cs="新宋体-18030"/>
          <w:bCs/>
          <w:color w:val="000000" w:themeColor="text1"/>
          <w:sz w:val="24"/>
          <w:szCs w:val="24"/>
          <w:highlight w:val="none"/>
          <w14:textFill>
            <w14:solidFill>
              <w14:schemeClr w14:val="tx1"/>
            </w14:solidFill>
          </w14:textFill>
        </w:rPr>
        <w:t>制造</w:t>
      </w:r>
      <w:r>
        <w:rPr>
          <w:rFonts w:ascii="宋体" w:hAnsi="宋体" w:cs="新宋体-18030"/>
          <w:bCs/>
          <w:color w:val="000000" w:themeColor="text1"/>
          <w:sz w:val="24"/>
          <w:szCs w:val="24"/>
          <w:highlight w:val="none"/>
          <w14:textFill>
            <w14:solidFill>
              <w14:schemeClr w14:val="tx1"/>
            </w14:solidFill>
          </w14:textFill>
        </w:rPr>
        <w:t>)</w:t>
      </w:r>
      <w:r>
        <w:rPr>
          <w:rFonts w:hint="eastAsia" w:ascii="宋体" w:hAnsi="宋体" w:cs="新宋体-18030"/>
          <w:bCs/>
          <w:color w:val="000000" w:themeColor="text1"/>
          <w:sz w:val="24"/>
          <w:szCs w:val="24"/>
          <w:highlight w:val="none"/>
          <w14:textFill>
            <w14:solidFill>
              <w14:schemeClr w14:val="tx1"/>
            </w14:solidFill>
          </w14:textFill>
        </w:rPr>
        <w:t>许可证、产品合格证，并在场外进行预先验收，对不合格产品一律做清退处理。对于现场检查中发现的不合格产品，发包人对承包人入场验收放行人员保留责任追究权利。</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施工现场的安全防护用具、机械设备、施工机具及配件必须由专人管理，承包人应指定专门部门按照国家法规及技术标准要求定期进行检查、维修和保养，建立相应的资料档案，并按照国家有关规定及时报废。</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15" w:name="十三"/>
      <w:bookmarkEnd w:id="1115"/>
      <w:bookmarkStart w:id="1116" w:name="十二"/>
      <w:bookmarkEnd w:id="1116"/>
      <w:bookmarkStart w:id="1117" w:name="_Toc213658624"/>
      <w:bookmarkStart w:id="1118" w:name="_Toc41569113"/>
      <w:bookmarkStart w:id="1119" w:name="_Toc213660325"/>
      <w:r>
        <w:rPr>
          <w:rFonts w:hint="eastAsia" w:hAnsi="宋体" w:cs="新宋体-18030"/>
          <w:b/>
          <w:bCs/>
          <w:color w:val="000000" w:themeColor="text1"/>
          <w:sz w:val="24"/>
          <w:szCs w:val="24"/>
          <w:highlight w:val="none"/>
          <w14:textFill>
            <w14:solidFill>
              <w14:schemeClr w14:val="tx1"/>
            </w14:solidFill>
          </w14:textFill>
        </w:rPr>
        <w:t>安全投入</w:t>
      </w:r>
      <w:bookmarkEnd w:id="1117"/>
      <w:bookmarkEnd w:id="1118"/>
      <w:bookmarkEnd w:id="1119"/>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承包人应留存安全费用工程量清单累计完成情况及相关安全费用凭证。</w:t>
      </w:r>
      <w:r>
        <w:rPr>
          <w:rFonts w:hint="eastAsia" w:ascii="宋体" w:hAnsi="宋体"/>
          <w:color w:val="000000" w:themeColor="text1"/>
          <w:sz w:val="24"/>
          <w:szCs w:val="24"/>
          <w:highlight w:val="none"/>
          <w14:textFill>
            <w14:solidFill>
              <w14:schemeClr w14:val="tx1"/>
            </w14:solidFill>
          </w14:textFill>
        </w:rPr>
        <w:t>发包人有权对承包人安全费用的使用情况进行检查验证，承包人若不能提供相关安全费用凭证，则发包人视为承包人未产生相关安全费用，有权</w:t>
      </w:r>
      <w:r>
        <w:rPr>
          <w:rFonts w:hint="eastAsia" w:ascii="宋体" w:hAnsi="宋体" w:cs="新宋体-18030"/>
          <w:bCs/>
          <w:color w:val="000000" w:themeColor="text1"/>
          <w:sz w:val="24"/>
          <w:szCs w:val="24"/>
          <w:highlight w:val="none"/>
          <w14:textFill>
            <w14:solidFill>
              <w14:schemeClr w14:val="tx1"/>
            </w14:solidFill>
          </w14:textFill>
        </w:rPr>
        <w:t>承包人合同款中扣除等金额费用</w:t>
      </w:r>
      <w:r>
        <w:rPr>
          <w:rFonts w:hint="eastAsia" w:ascii="宋体" w:hAnsi="宋体"/>
          <w:color w:val="000000" w:themeColor="text1"/>
          <w:sz w:val="24"/>
          <w:szCs w:val="24"/>
          <w:highlight w:val="none"/>
          <w14:textFill>
            <w14:solidFill>
              <w14:schemeClr w14:val="tx1"/>
            </w14:solidFill>
          </w14:textFill>
        </w:rPr>
        <w:t>。</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承包人应建立安全费用专用账户，保证施工合同安全费用资金专款专用。</w:t>
      </w:r>
      <w:r>
        <w:rPr>
          <w:rFonts w:hint="eastAsia" w:ascii="宋体" w:hAnsi="宋体"/>
          <w:color w:val="000000" w:themeColor="text1"/>
          <w:sz w:val="24"/>
          <w:szCs w:val="24"/>
          <w:highlight w:val="none"/>
          <w14:textFill>
            <w14:solidFill>
              <w14:schemeClr w14:val="tx1"/>
            </w14:solidFill>
          </w14:textFill>
        </w:rPr>
        <w:t>承包人应建立安措费支取、安全设施采购和使用数据库，并向发包人无条件公开，</w:t>
      </w:r>
      <w:r>
        <w:rPr>
          <w:rFonts w:hint="eastAsia" w:ascii="宋体" w:hAnsi="宋体" w:cs="新宋体-18030"/>
          <w:bCs/>
          <w:color w:val="000000" w:themeColor="text1"/>
          <w:sz w:val="24"/>
          <w:szCs w:val="24"/>
          <w:highlight w:val="none"/>
          <w14:textFill>
            <w14:solidFill>
              <w14:schemeClr w14:val="tx1"/>
            </w14:solidFill>
          </w14:textFill>
        </w:rPr>
        <w:t>发包人有权不定期核查。</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如承包人未建立安措费支取、安全设施采购和使用数据库，或虽建立但未向发包人无条件公开，或发包人在核查承包人的安措费使用情况发现重大问题而承包人未按时整改的，则发包人有权扣除承包人剩余安全措施费用相应金额的合同款。</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承包人安全费用（包括安全生产、文明施工和环境保护费用）的费率不得低于国家或地方政府相关部门规定的最低标准，发包人将安全费用列入工程造价，在竞标时，不得删减，列入标外管理。</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承包人不得克扣其分供商或分包商的安全投入，并且要监督其分供商或分包商安全投入使用情况。</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承包人应监督检查其劳保用品发放情况，严禁承包人从劳务工工资中扣除劳保费用。</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20" w:name="十五"/>
      <w:bookmarkEnd w:id="1120"/>
      <w:bookmarkStart w:id="1121" w:name="_Toc213658626"/>
      <w:bookmarkStart w:id="1122" w:name="_Toc41569114"/>
      <w:bookmarkStart w:id="1123" w:name="_Toc213660327"/>
      <w:r>
        <w:rPr>
          <w:rFonts w:hint="eastAsia" w:hAnsi="宋体" w:cs="新宋体-18030"/>
          <w:b/>
          <w:bCs/>
          <w:color w:val="000000" w:themeColor="text1"/>
          <w:sz w:val="24"/>
          <w:szCs w:val="24"/>
          <w:highlight w:val="none"/>
          <w14:textFill>
            <w14:solidFill>
              <w14:schemeClr w14:val="tx1"/>
            </w14:solidFill>
          </w14:textFill>
        </w:rPr>
        <w:t>分包商及劳务用工安全</w:t>
      </w:r>
      <w:bookmarkEnd w:id="1121"/>
      <w:bookmarkEnd w:id="1122"/>
      <w:bookmarkEnd w:id="1123"/>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承包人应根据合同约定建立合格分包方名录（清单），建立分包商资格审查程序，审核验证分包商资质，并报发包人审核备案。</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承包人按照合同规定与分包方签订分包合同，分包合同包含安全协议，并对分包方进行安全监管，并执行发包人安全规定。</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以任何用工形式使用的长期劳务用工和短期、临时劳务用工、参观人员都属于承包人本单位员工。承包人应对其分包商及劳务用工或学徒、技校生实行直接的安全管理，承包人对分包商、劳务用工、本单位临时人员的安全管理负有全部责任。</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24" w:name="十六"/>
      <w:bookmarkEnd w:id="1124"/>
      <w:bookmarkStart w:id="1125" w:name="_Toc213658627"/>
      <w:bookmarkStart w:id="1126" w:name="_Toc213660328"/>
      <w:bookmarkStart w:id="1127" w:name="_Toc41569115"/>
      <w:r>
        <w:rPr>
          <w:rFonts w:hint="eastAsia" w:hAnsi="宋体" w:cs="新宋体-18030"/>
          <w:b/>
          <w:bCs/>
          <w:color w:val="000000" w:themeColor="text1"/>
          <w:sz w:val="24"/>
          <w:szCs w:val="24"/>
          <w:highlight w:val="none"/>
          <w14:textFill>
            <w14:solidFill>
              <w14:schemeClr w14:val="tx1"/>
            </w14:solidFill>
          </w14:textFill>
        </w:rPr>
        <w:t>职业健康与卫生防疫</w:t>
      </w:r>
      <w:bookmarkEnd w:id="1125"/>
      <w:bookmarkEnd w:id="1126"/>
      <w:bookmarkEnd w:id="1127"/>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国家有关法律法规及标准和发包人要求建立职业健康管理制度，识别涉职业危害重点岗位和人员，并为其建立职业健康监护档案。同时实施施工作业环境影响监测制度，对作业区域粉尘、噪声、有毒有害物质以及温湿度等影响从业人员职业健康因素进行定期监测。</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涉及高温作业、低温作业执行国家标准。</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承包人应保证卫生防疫基本设施的投入，以满足医疗、急救的要求，建立外部医疗支持渠道。</w:t>
      </w:r>
    </w:p>
    <w:p>
      <w:pPr>
        <w:numPr>
          <w:ilvl w:val="1"/>
          <w:numId w:val="20"/>
        </w:numPr>
        <w:tabs>
          <w:tab w:val="left" w:pos="1155"/>
        </w:tabs>
        <w:snapToGrid w:val="0"/>
        <w:spacing w:before="120" w:after="120" w:line="360" w:lineRule="auto"/>
        <w:ind w:left="1134" w:hanging="714"/>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卫生防疫措施计划，做好生活区和施工区的卫生防疫工作；制定和执行保证饮水卫生、饮食卫生、环境卫生和预防集体食物中毒的措施；有灭蚊、灭鼠和消毒的专项工作计划和措施；有针对性地制订预防各类传染疾病的措施。</w:t>
      </w:r>
      <w:bookmarkStart w:id="1128" w:name="十七"/>
      <w:bookmarkEnd w:id="1128"/>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29" w:name="一、"/>
      <w:bookmarkEnd w:id="1129"/>
      <w:bookmarkStart w:id="1130" w:name="二十"/>
      <w:bookmarkEnd w:id="1130"/>
      <w:bookmarkStart w:id="1131" w:name="_Toc41569116"/>
      <w:r>
        <w:rPr>
          <w:rFonts w:hint="eastAsia" w:hAnsi="宋体" w:cs="新宋体-18030"/>
          <w:b/>
          <w:bCs/>
          <w:color w:val="000000" w:themeColor="text1"/>
          <w:sz w:val="24"/>
          <w:szCs w:val="24"/>
          <w:highlight w:val="none"/>
          <w14:textFill>
            <w14:solidFill>
              <w14:schemeClr w14:val="tx1"/>
            </w14:solidFill>
          </w14:textFill>
        </w:rPr>
        <w:t>安全风险管理</w:t>
      </w:r>
      <w:bookmarkEnd w:id="1131"/>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承包人应对合同活动进行全面、深入的危险源辨识和风险分析，应向发包人危险源辨识台账。</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承包人应结合本单位的施工计划，识别编制阶段性危大工程清单并报发包人备案。</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承包人应建立施工方案安全技术措施交底机制，施工作业开始前进行安全技术进行交底，制定针对的风险控制措施。</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承包人应积极发明或推广能够提高作业工艺安全性能的新技术、新工艺、新材料。</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32" w:name="二、"/>
      <w:bookmarkEnd w:id="1132"/>
      <w:bookmarkStart w:id="1133" w:name="_Toc41569117"/>
      <w:r>
        <w:rPr>
          <w:rFonts w:hint="eastAsia" w:hAnsi="宋体" w:cs="新宋体-18030"/>
          <w:b/>
          <w:bCs/>
          <w:color w:val="000000" w:themeColor="text1"/>
          <w:sz w:val="24"/>
          <w:szCs w:val="24"/>
          <w:highlight w:val="none"/>
          <w14:textFill>
            <w14:solidFill>
              <w14:schemeClr w14:val="tx1"/>
            </w14:solidFill>
          </w14:textFill>
        </w:rPr>
        <w:t>现场作业基本安全条件</w:t>
      </w:r>
      <w:bookmarkEnd w:id="1133"/>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发包人要求规定现场作业的基本安全条件，包括照明条件、通风条件、作业平台和通道条件、物料堆放条件、供电供水条件、吸烟点、休息点等，并对临边现场、水边现场、立体交叉作业现场、地面坑洞和沟道、夜间作业现场等的基本安全条件做出特别规定。</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对于特种作业现场的安全条件，如脚手架、吊篮、密闭场所、基坑等，除一般规定外，承包人应对作业基本安全条件予以明确。</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对内部通道及作业区域的照明进行设计和规划。当任意一个部位形成室内作业且照明不足时（特别是地下室），承包人应及时设置施工照明和应急照明，保证任何区域均有足够的照明满足施工作业需求。现场室内应急照明应根据施工进展同步安装完成。</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34" w:name="三、"/>
      <w:bookmarkEnd w:id="1134"/>
      <w:bookmarkStart w:id="1135" w:name="_Toc41569118"/>
      <w:r>
        <w:rPr>
          <w:rFonts w:hint="eastAsia" w:hAnsi="宋体" w:cs="新宋体-18030"/>
          <w:b/>
          <w:bCs/>
          <w:color w:val="000000" w:themeColor="text1"/>
          <w:sz w:val="24"/>
          <w:szCs w:val="24"/>
          <w:highlight w:val="none"/>
          <w14:textFill>
            <w14:solidFill>
              <w14:schemeClr w14:val="tx1"/>
            </w14:solidFill>
          </w14:textFill>
        </w:rPr>
        <w:t>劳动保护</w:t>
      </w:r>
      <w:bookmarkEnd w:id="1135"/>
    </w:p>
    <w:p>
      <w:pPr>
        <w:numPr>
          <w:ilvl w:val="1"/>
          <w:numId w:val="20"/>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承包人为高处作业人员配备的安全带必须为带缓冲包的五点式双钩安全带。</w:t>
      </w:r>
    </w:p>
    <w:p>
      <w:pPr>
        <w:numPr>
          <w:ilvl w:val="1"/>
          <w:numId w:val="20"/>
        </w:numPr>
        <w:tabs>
          <w:tab w:val="left" w:pos="1155"/>
          <w:tab w:val="left" w:pos="1560"/>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承包人按国家标准所规定的劳保用品配备标准为员工配备个人防护用品，并制定管理规定，对个人防护用品进行管理。</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承包人在制定施工方案时，考虑在合适的地方采用设计、工程和管理控制来取代个人防护用品的方案。</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特殊作业环境中作业必须结合安全风险特点佩戴对应特殊劳动防护用品，如带电作业必须穿戴绝缘手套和绝缘鞋。</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特种作业人员应采取一定的措施，在安全帽或工作服标识上与其他工种进行区分。</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36" w:name="四、"/>
      <w:bookmarkEnd w:id="1136"/>
      <w:bookmarkStart w:id="1137" w:name="_Toc41569119"/>
      <w:r>
        <w:rPr>
          <w:rFonts w:hint="eastAsia" w:hAnsi="宋体" w:cs="新宋体-18030"/>
          <w:b/>
          <w:bCs/>
          <w:color w:val="000000" w:themeColor="text1"/>
          <w:sz w:val="24"/>
          <w:szCs w:val="24"/>
          <w:highlight w:val="none"/>
          <w14:textFill>
            <w14:solidFill>
              <w14:schemeClr w14:val="tx1"/>
            </w14:solidFill>
          </w14:textFill>
        </w:rPr>
        <w:t>施工机械、施工作业材料和施工机具安全</w:t>
      </w:r>
      <w:bookmarkEnd w:id="1137"/>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对于承包人带入现场的设备、工具、材料，如起重设备、索具、机动车辆、压缩气瓶等，承包人必须按国家法规和标准进行检测、试验，并持有法定部门出具的检验证书。</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承包人要建立施工机械的定期检查保养制度，并有记录。承包人对使用的施工机械、机具（包括租赁的施工机械</w:t>
      </w:r>
      <w:r>
        <w:rPr>
          <w:rFonts w:ascii="宋体" w:hAnsi="宋体" w:cs="新宋体-18030"/>
          <w:bCs/>
          <w:color w:val="000000" w:themeColor="text1"/>
          <w:sz w:val="24"/>
          <w:szCs w:val="24"/>
          <w:highlight w:val="none"/>
          <w14:textFill>
            <w14:solidFill>
              <w14:schemeClr w14:val="tx1"/>
            </w14:solidFill>
          </w14:textFill>
        </w:rPr>
        <w:t>/</w:t>
      </w:r>
      <w:r>
        <w:rPr>
          <w:rFonts w:hint="eastAsia" w:ascii="宋体" w:hAnsi="宋体" w:cs="新宋体-18030"/>
          <w:bCs/>
          <w:color w:val="000000" w:themeColor="text1"/>
          <w:sz w:val="24"/>
          <w:szCs w:val="24"/>
          <w:highlight w:val="none"/>
          <w14:textFill>
            <w14:solidFill>
              <w14:schemeClr w14:val="tx1"/>
            </w14:solidFill>
          </w14:textFill>
        </w:rPr>
        <w:t>机具）的安全承担直接责任。</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承包人应建立施工机械安全的管理程序，对维护、维修、检测、报废以及档案、记录等各个环节作出规定。</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38" w:name="五、"/>
      <w:bookmarkEnd w:id="1138"/>
      <w:bookmarkStart w:id="1139" w:name="_Toc213660329"/>
      <w:bookmarkStart w:id="1140" w:name="_Toc213658628"/>
      <w:bookmarkStart w:id="1141" w:name="_Toc41569120"/>
      <w:bookmarkStart w:id="1142" w:name="_Toc213660333"/>
      <w:bookmarkStart w:id="1143" w:name="_Toc213658632"/>
      <w:r>
        <w:rPr>
          <w:rFonts w:hint="eastAsia" w:hAnsi="宋体" w:cs="新宋体-18030"/>
          <w:b/>
          <w:bCs/>
          <w:color w:val="000000" w:themeColor="text1"/>
          <w:sz w:val="24"/>
          <w:szCs w:val="24"/>
          <w:highlight w:val="none"/>
          <w14:textFill>
            <w14:solidFill>
              <w14:schemeClr w14:val="tx1"/>
            </w14:solidFill>
          </w14:textFill>
        </w:rPr>
        <w:t>消防安全</w:t>
      </w:r>
      <w:bookmarkEnd w:id="1139"/>
      <w:bookmarkEnd w:id="1140"/>
      <w:bookmarkEnd w:id="1141"/>
    </w:p>
    <w:p>
      <w:pPr>
        <w:numPr>
          <w:ilvl w:val="1"/>
          <w:numId w:val="20"/>
        </w:numPr>
        <w:tabs>
          <w:tab w:val="left" w:pos="1155"/>
          <w:tab w:val="left" w:pos="1560"/>
          <w:tab w:val="clear" w:pos="1512"/>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承包人应根据发包人提供的设计资料并结合施工现场实际进行临时消防系统设计，消防系统设计应符合《</w:t>
      </w:r>
      <w:r>
        <w:rPr>
          <w:rFonts w:ascii="宋体" w:hAnsi="宋体" w:cs="新宋体-18030"/>
          <w:bCs/>
          <w:color w:val="000000" w:themeColor="text1"/>
          <w:sz w:val="24"/>
          <w:szCs w:val="24"/>
          <w:highlight w:val="none"/>
          <w14:textFill>
            <w14:solidFill>
              <w14:schemeClr w14:val="tx1"/>
            </w14:solidFill>
          </w14:textFill>
        </w:rPr>
        <w:t>建设工程施工现场消防安全技术规范</w:t>
      </w:r>
      <w:r>
        <w:rPr>
          <w:rFonts w:hint="eastAsia" w:ascii="宋体" w:hAnsi="宋体" w:cs="新宋体-18030"/>
          <w:bCs/>
          <w:color w:val="000000" w:themeColor="text1"/>
          <w:sz w:val="24"/>
          <w:szCs w:val="24"/>
          <w:highlight w:val="none"/>
          <w14:textFill>
            <w14:solidFill>
              <w14:schemeClr w14:val="tx1"/>
            </w14:solidFill>
          </w14:textFill>
        </w:rPr>
        <w:t>》（</w:t>
      </w:r>
      <w:r>
        <w:rPr>
          <w:rFonts w:ascii="宋体" w:hAnsi="宋体" w:cs="新宋体-18030"/>
          <w:bCs/>
          <w:color w:val="000000" w:themeColor="text1"/>
          <w:sz w:val="24"/>
          <w:szCs w:val="24"/>
          <w:highlight w:val="none"/>
          <w14:textFill>
            <w14:solidFill>
              <w14:schemeClr w14:val="tx1"/>
            </w14:solidFill>
          </w14:textFill>
        </w:rPr>
        <w:t>GB50720</w:t>
      </w:r>
      <w:r>
        <w:rPr>
          <w:rFonts w:hint="eastAsia" w:ascii="宋体" w:hAnsi="宋体" w:cs="新宋体-18030"/>
          <w:bCs/>
          <w:color w:val="000000" w:themeColor="text1"/>
          <w:sz w:val="24"/>
          <w:szCs w:val="24"/>
          <w:highlight w:val="none"/>
          <w14:textFill>
            <w14:solidFill>
              <w14:schemeClr w14:val="tx1"/>
            </w14:solidFill>
          </w14:textFill>
        </w:rPr>
        <w:t>）的技术要求。</w:t>
      </w:r>
    </w:p>
    <w:p>
      <w:pPr>
        <w:numPr>
          <w:ilvl w:val="1"/>
          <w:numId w:val="20"/>
        </w:numPr>
        <w:tabs>
          <w:tab w:val="left" w:pos="1155"/>
          <w:tab w:val="left" w:pos="1560"/>
          <w:tab w:val="clear" w:pos="1512"/>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承包人应根据临时消防系统设计方案进行临时消防系统施工和维护，确保临时消防系统可用。</w:t>
      </w:r>
    </w:p>
    <w:p>
      <w:pPr>
        <w:numPr>
          <w:ilvl w:val="1"/>
          <w:numId w:val="20"/>
        </w:numPr>
        <w:tabs>
          <w:tab w:val="left" w:pos="1155"/>
          <w:tab w:val="left" w:pos="1560"/>
          <w:tab w:val="clear" w:pos="1512"/>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承包人在施工过程中阻断/更改临时消防管路，对临时消防系统的可用性产生影响时，需提前征得项目部有关部门的同意。</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承包人应落实责任范围内给排水的管理措施和技术措施，保证消防用水。</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承包人应参照发包人程序建立施工动火控制制度，动火作业须办理动火证，并根据《建筑工程消防安全技术规范》为动火作业点配置专职监护人。</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发包人对“流动吸烟”实行“清退出场”处理措施，承包人应建立吸烟点并负责定期清扫，保持清洁卫生，禁止在非指定的吸烟点吸烟。禁止在现场焚烧各类物品及垃圾等。</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44" w:name="_Toc41569121"/>
      <w:r>
        <w:rPr>
          <w:rFonts w:hint="eastAsia" w:hAnsi="宋体" w:cs="新宋体-18030"/>
          <w:b/>
          <w:bCs/>
          <w:color w:val="000000" w:themeColor="text1"/>
          <w:sz w:val="24"/>
          <w:szCs w:val="24"/>
          <w:highlight w:val="none"/>
          <w14:textFill>
            <w14:solidFill>
              <w14:schemeClr w14:val="tx1"/>
            </w14:solidFill>
          </w14:textFill>
        </w:rPr>
        <w:t>电气安全</w:t>
      </w:r>
      <w:bookmarkEnd w:id="1144"/>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承包人按《施工现场临时用电安全技术规范》（</w:t>
      </w:r>
      <w:r>
        <w:rPr>
          <w:rFonts w:ascii="宋体" w:hAnsi="宋体" w:cs="新宋体-18030"/>
          <w:bCs/>
          <w:color w:val="000000" w:themeColor="text1"/>
          <w:sz w:val="24"/>
          <w:szCs w:val="24"/>
          <w:highlight w:val="none"/>
          <w14:textFill>
            <w14:solidFill>
              <w14:schemeClr w14:val="tx1"/>
            </w14:solidFill>
          </w14:textFill>
        </w:rPr>
        <w:t>JGJ46</w:t>
      </w:r>
      <w:r>
        <w:rPr>
          <w:rFonts w:hint="eastAsia" w:ascii="宋体" w:hAnsi="宋体" w:cs="新宋体-18030"/>
          <w:bCs/>
          <w:color w:val="000000" w:themeColor="text1"/>
          <w:sz w:val="24"/>
          <w:szCs w:val="24"/>
          <w:highlight w:val="none"/>
          <w14:textFill>
            <w14:solidFill>
              <w14:schemeClr w14:val="tx1"/>
            </w14:solidFill>
          </w14:textFill>
        </w:rPr>
        <w:t>）、《用电安全导则》（GBT13869），编制《临时用电施工组织设计》，对用电设备容量、电缆走向、电缆敷设、电器安全设施参数、用电管理等进行规定；现场实际情况变更时，《临时用电施工组织设计》应予提前升版和报审。</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配电系统应设置配电柜或总配电箱（即一级配电箱）、分配电箱、开关箱，实行三级配电。总配电箱、开关箱必须装设漏电保护。</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施工现场临时用电工程必须采用三级配电系统、TN-S接零保护系统和二级漏电保护系统。临时用电采用</w:t>
      </w:r>
      <w:r>
        <w:rPr>
          <w:rFonts w:ascii="宋体" w:hAnsi="宋体" w:cs="新宋体-18030"/>
          <w:bCs/>
          <w:color w:val="000000" w:themeColor="text1"/>
          <w:sz w:val="24"/>
          <w:szCs w:val="24"/>
          <w:highlight w:val="none"/>
          <w14:textFill>
            <w14:solidFill>
              <w14:schemeClr w14:val="tx1"/>
            </w14:solidFill>
          </w14:textFill>
        </w:rPr>
        <w:t xml:space="preserve">TN-S </w:t>
      </w:r>
      <w:r>
        <w:rPr>
          <w:rFonts w:hint="eastAsia" w:ascii="宋体" w:hAnsi="宋体" w:cs="新宋体-18030"/>
          <w:bCs/>
          <w:color w:val="000000" w:themeColor="text1"/>
          <w:sz w:val="24"/>
          <w:szCs w:val="24"/>
          <w:highlight w:val="none"/>
          <w14:textFill>
            <w14:solidFill>
              <w14:schemeClr w14:val="tx1"/>
            </w14:solidFill>
          </w14:textFill>
        </w:rPr>
        <w:t>系统，符合“三级配电、两级保护”，达到“一机、一闸、一漏”的要求。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施工现场</w:t>
      </w:r>
      <w:r>
        <w:rPr>
          <w:rFonts w:hint="eastAsia" w:ascii="宋体" w:hAnsi="宋体"/>
          <w:color w:val="000000" w:themeColor="text1"/>
          <w:sz w:val="24"/>
          <w:szCs w:val="24"/>
          <w:highlight w:val="none"/>
          <w14:textFill>
            <w14:solidFill>
              <w14:schemeClr w14:val="tx1"/>
            </w14:solidFill>
          </w14:textFill>
        </w:rPr>
        <w:t>地埋电缆禁止直埋，必须加套管或保护层</w:t>
      </w:r>
      <w:r>
        <w:rPr>
          <w:rFonts w:hint="eastAsia" w:ascii="宋体" w:hAnsi="宋体" w:cs="新宋体-18030"/>
          <w:bCs/>
          <w:color w:val="000000" w:themeColor="text1"/>
          <w:sz w:val="24"/>
          <w:szCs w:val="24"/>
          <w:highlight w:val="none"/>
          <w14:textFill>
            <w14:solidFill>
              <w14:schemeClr w14:val="tx1"/>
            </w14:solidFill>
          </w14:textFill>
        </w:rPr>
        <w:t>。室内</w:t>
      </w:r>
      <w:r>
        <w:rPr>
          <w:rFonts w:hint="eastAsia" w:ascii="宋体" w:cs="宋体"/>
          <w:color w:val="000000" w:themeColor="text1"/>
          <w:sz w:val="24"/>
          <w:highlight w:val="none"/>
          <w14:textFill>
            <w14:solidFill>
              <w14:schemeClr w14:val="tx1"/>
            </w14:solidFill>
          </w14:textFill>
        </w:rPr>
        <w:t>电缆敷设应根据施工环境特点安装高度应能够避免机械损伤和其他损伤，采用绝缘挂钩悬挂走线，不得直接挂在金属构架、脚手架等其他支架上。当</w:t>
      </w:r>
      <w:r>
        <w:rPr>
          <w:rFonts w:hint="eastAsia" w:ascii="宋体" w:hAnsi="宋体"/>
          <w:color w:val="000000" w:themeColor="text1"/>
          <w:sz w:val="24"/>
          <w:szCs w:val="24"/>
          <w:highlight w:val="none"/>
          <w14:textFill>
            <w14:solidFill>
              <w14:schemeClr w14:val="tx1"/>
            </w14:solidFill>
          </w14:textFill>
        </w:rPr>
        <w:t>电缆敷设穿越楼板、墙壁和空洞时应采取绝缘管或护套进行保护。</w:t>
      </w:r>
      <w:r>
        <w:rPr>
          <w:rFonts w:hint="eastAsia" w:ascii="宋体" w:hAnsi="宋体" w:cs="新宋体-18030"/>
          <w:bCs/>
          <w:color w:val="000000" w:themeColor="text1"/>
          <w:sz w:val="24"/>
          <w:szCs w:val="24"/>
          <w:highlight w:val="none"/>
          <w14:textFill>
            <w14:solidFill>
              <w14:schemeClr w14:val="tx1"/>
            </w14:solidFill>
          </w14:textFill>
        </w:rPr>
        <w:t>当采用地面走线时，电缆布置应根据施工用电配电系统及用电需求布置配电线路槽盒，通道处须设置过桥保护。</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结合施工现场临时施工用电施工组织设计建立匹配的接地网络，接地网络按建筑层逐层布置，综合考虑配电系统、用电设备就近连接。不得采用铝导体做接地体或地下接地线。垂直接地体宜采用角钢、钢管或光面圆钢，不得采用螺纹钢。</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移动工具、手持工具等用电设备应有各自的电源开关，必须实行“一机一闸”制，严禁2台或2台以上用电设备(含插座)使用同一开关。</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在水下或潮湿环境中使用电气设备或电动工具，作业前应由电工对其绝缘进行测试，带电零件与壳体之间，基本绝缘不得小于2MΩ，加强绝缘不得小于7MΩ。</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承包人须配备足够的电工（持证）对所有电气设备进行日常维护，保存好维护记录。</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现场带电设备必须张贴安全用电警示牌。</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配电箱张贴设备标牌、维护责任人信息牌、警示标牌。</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45" w:name="十八"/>
      <w:bookmarkEnd w:id="1145"/>
      <w:bookmarkStart w:id="1146" w:name="_Toc41569122"/>
      <w:bookmarkStart w:id="1147" w:name="_Toc213660330"/>
      <w:bookmarkStart w:id="1148" w:name="_Toc213658629"/>
      <w:r>
        <w:rPr>
          <w:rFonts w:hint="eastAsia" w:hAnsi="宋体" w:cs="新宋体-18030"/>
          <w:b/>
          <w:bCs/>
          <w:color w:val="000000" w:themeColor="text1"/>
          <w:sz w:val="24"/>
          <w:szCs w:val="24"/>
          <w:highlight w:val="none"/>
          <w14:textFill>
            <w14:solidFill>
              <w14:schemeClr w14:val="tx1"/>
            </w14:solidFill>
          </w14:textFill>
        </w:rPr>
        <w:t>临时照明、应急照明</w:t>
      </w:r>
      <w:bookmarkEnd w:id="1146"/>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承包人应制定临时照明系统总体设计方案，并根据施工进展进行实施更新，满足现场施工照度要求。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施工区域作业面最低照度满足施工工艺所需照度，应大于</w:t>
      </w:r>
      <w:r>
        <w:rPr>
          <w:rFonts w:ascii="宋体" w:hAnsi="宋体" w:cs="新宋体-18030"/>
          <w:bCs/>
          <w:color w:val="000000" w:themeColor="text1"/>
          <w:sz w:val="24"/>
          <w:szCs w:val="24"/>
          <w:highlight w:val="none"/>
          <w14:textFill>
            <w14:solidFill>
              <w14:schemeClr w14:val="tx1"/>
            </w14:solidFill>
          </w14:textFill>
        </w:rPr>
        <w:t>50Lx</w:t>
      </w:r>
      <w:r>
        <w:rPr>
          <w:rFonts w:hint="eastAsia" w:ascii="宋体" w:hAnsi="宋体" w:cs="新宋体-18030"/>
          <w:bCs/>
          <w:color w:val="000000" w:themeColor="text1"/>
          <w:sz w:val="24"/>
          <w:szCs w:val="24"/>
          <w:highlight w:val="none"/>
          <w14:textFill>
            <w14:solidFill>
              <w14:schemeClr w14:val="tx1"/>
            </w14:solidFill>
          </w14:textFill>
        </w:rPr>
        <w:t>。</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灯具外壳应采用密封保护罩，不得采用无防护措施的简易照明灯具。照明灯具宜采用环保节能的</w:t>
      </w:r>
      <w:r>
        <w:rPr>
          <w:rFonts w:ascii="宋体" w:hAnsi="宋体" w:cs="新宋体-18030"/>
          <w:bCs/>
          <w:color w:val="000000" w:themeColor="text1"/>
          <w:sz w:val="24"/>
          <w:szCs w:val="24"/>
          <w:highlight w:val="none"/>
          <w14:textFill>
            <w14:solidFill>
              <w14:schemeClr w14:val="tx1"/>
            </w14:solidFill>
          </w14:textFill>
        </w:rPr>
        <w:t>LED</w:t>
      </w:r>
      <w:r>
        <w:rPr>
          <w:rFonts w:hint="eastAsia" w:ascii="宋体" w:hAnsi="宋体" w:cs="新宋体-18030"/>
          <w:bCs/>
          <w:color w:val="000000" w:themeColor="text1"/>
          <w:sz w:val="24"/>
          <w:szCs w:val="24"/>
          <w:highlight w:val="none"/>
          <w14:textFill>
            <w14:solidFill>
              <w14:schemeClr w14:val="tx1"/>
            </w14:solidFill>
          </w14:textFill>
        </w:rPr>
        <w:t>。照明器具和器材的质量应符合国家现行有关强制性标准的规定，不得使用绝缘老化或破损的器具和器材，照明灯具均应设置保护罩。</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地下室、楼梯间等采光不足的地方需设置采用蓄电池为备用电源的应急照明设置，其连续供电能力不小于3</w:t>
      </w:r>
      <w:r>
        <w:rPr>
          <w:rFonts w:ascii="宋体" w:hAnsi="宋体" w:cs="新宋体-18030"/>
          <w:bCs/>
          <w:color w:val="000000" w:themeColor="text1"/>
          <w:sz w:val="24"/>
          <w:szCs w:val="24"/>
          <w:highlight w:val="none"/>
          <w14:textFill>
            <w14:solidFill>
              <w14:schemeClr w14:val="tx1"/>
            </w14:solidFill>
          </w14:textFill>
        </w:rPr>
        <w:t xml:space="preserve">0 </w:t>
      </w:r>
      <w:r>
        <w:rPr>
          <w:rFonts w:hint="eastAsia" w:ascii="宋体" w:hAnsi="宋体" w:cs="新宋体-18030"/>
          <w:bCs/>
          <w:color w:val="000000" w:themeColor="text1"/>
          <w:sz w:val="24"/>
          <w:szCs w:val="24"/>
          <w:highlight w:val="none"/>
          <w14:textFill>
            <w14:solidFill>
              <w14:schemeClr w14:val="tx1"/>
            </w14:solidFill>
          </w14:textFill>
        </w:rPr>
        <w:t>分钟。应急照明的高度不低于</w:t>
      </w:r>
      <w:r>
        <w:rPr>
          <w:rFonts w:ascii="宋体" w:hAnsi="宋体" w:cs="新宋体-18030"/>
          <w:bCs/>
          <w:color w:val="000000" w:themeColor="text1"/>
          <w:sz w:val="24"/>
          <w:szCs w:val="24"/>
          <w:highlight w:val="none"/>
          <w14:textFill>
            <w14:solidFill>
              <w14:schemeClr w14:val="tx1"/>
            </w14:solidFill>
          </w14:textFill>
        </w:rPr>
        <w:t>2m</w:t>
      </w:r>
      <w:r>
        <w:rPr>
          <w:rFonts w:hint="eastAsia" w:ascii="宋体" w:hAnsi="宋体" w:cs="新宋体-18030"/>
          <w:bCs/>
          <w:color w:val="000000" w:themeColor="text1"/>
          <w:sz w:val="24"/>
          <w:szCs w:val="24"/>
          <w:highlight w:val="none"/>
          <w14:textFill>
            <w14:solidFill>
              <w14:schemeClr w14:val="tx1"/>
            </w14:solidFill>
          </w14:textFill>
        </w:rPr>
        <w:t>，间距需满足能见度要求。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承包人工作人员在易燃易爆场所必须使用防爆手电等照明灯具。</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49" w:name="_Toc41569123"/>
      <w:r>
        <w:rPr>
          <w:rFonts w:hint="eastAsia" w:hAnsi="宋体" w:cs="新宋体-18030"/>
          <w:b/>
          <w:bCs/>
          <w:color w:val="000000" w:themeColor="text1"/>
          <w:sz w:val="24"/>
          <w:szCs w:val="24"/>
          <w:highlight w:val="none"/>
          <w14:textFill>
            <w14:solidFill>
              <w14:schemeClr w14:val="tx1"/>
            </w14:solidFill>
          </w14:textFill>
        </w:rPr>
        <w:t>环境保护</w:t>
      </w:r>
      <w:bookmarkEnd w:id="1147"/>
      <w:bookmarkEnd w:id="1148"/>
      <w:bookmarkEnd w:id="1149"/>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承包人应根据实际需要，在施工现场布置满足发包人要求的临时卫生设施（洗手间、卫生间等），并安排专门人员、设备等资源维护现场卫生设施，保证卫生设施清洁、整洁、无异味。</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承包人施工中应及时对裸露的地基、边坡、开挖出来的沙、土以及砂、石、水泥等建筑材料予以保护，防止风刮扬尘，雨水冲刷，流入市政道路等。</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50" w:name="_Toc41569124"/>
      <w:bookmarkStart w:id="1151" w:name="_Toc213660331"/>
      <w:bookmarkStart w:id="1152" w:name="_Toc213658630"/>
      <w:r>
        <w:rPr>
          <w:rFonts w:hint="eastAsia" w:hAnsi="宋体" w:cs="新宋体-18030"/>
          <w:b/>
          <w:bCs/>
          <w:color w:val="000000" w:themeColor="text1"/>
          <w:sz w:val="24"/>
          <w:szCs w:val="24"/>
          <w:highlight w:val="none"/>
          <w14:textFill>
            <w14:solidFill>
              <w14:schemeClr w14:val="tx1"/>
            </w14:solidFill>
          </w14:textFill>
        </w:rPr>
        <w:t>施工临建安全</w:t>
      </w:r>
      <w:bookmarkEnd w:id="1150"/>
      <w:bookmarkEnd w:id="1151"/>
      <w:bookmarkEnd w:id="1152"/>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承包人根据发包人现场总体规划制定生产临建规划方案，临建规划布置应满足有关法律法规及标准要求。</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在工地内的临建设施，必须满足国家法规和地方政府的安全规定。临时施工建筑的建设标准应不低于地方规范。应满足消防、安全用电、卫生防疫、防抗台风、雷雨、暴雨、大风等方面的安全要求，尤其严格消防管理，禁止封锁逃生通道。禁止使用工作场所、仓库、生活场所“三合一”的设施。</w:t>
      </w:r>
    </w:p>
    <w:p>
      <w:pPr>
        <w:numPr>
          <w:ilvl w:val="0"/>
          <w:numId w:val="20"/>
        </w:numPr>
        <w:snapToGrid w:val="0"/>
        <w:spacing w:before="120" w:after="120" w:line="360" w:lineRule="auto"/>
        <w:outlineLvl w:val="2"/>
        <w:rPr>
          <w:rFonts w:hAnsi="宋体" w:cs="新宋体-18030"/>
          <w:b/>
          <w:bCs/>
          <w:color w:val="000000" w:themeColor="text1"/>
          <w:sz w:val="24"/>
          <w:szCs w:val="24"/>
          <w:highlight w:val="none"/>
          <w14:textFill>
            <w14:solidFill>
              <w14:schemeClr w14:val="tx1"/>
            </w14:solidFill>
          </w14:textFill>
        </w:rPr>
      </w:pPr>
      <w:bookmarkStart w:id="1153" w:name="_Toc41569125"/>
      <w:r>
        <w:rPr>
          <w:rFonts w:hint="eastAsia" w:hAnsi="宋体" w:cs="新宋体-18030"/>
          <w:b/>
          <w:bCs/>
          <w:color w:val="000000" w:themeColor="text1"/>
          <w:sz w:val="24"/>
          <w:szCs w:val="24"/>
          <w:highlight w:val="none"/>
          <w14:textFill>
            <w14:solidFill>
              <w14:schemeClr w14:val="tx1"/>
            </w14:solidFill>
          </w14:textFill>
        </w:rPr>
        <w:t>安全文明施工标准化建设</w:t>
      </w:r>
      <w:bookmarkEnd w:id="1153"/>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承包人应落实《粤海置地（深圳）有限公司安全文明施工标准化图册》要求，规范作业安全防护、施工区域、临建办公区定置化标准。图册中</w:t>
      </w:r>
      <w:r>
        <w:rPr>
          <w:rFonts w:hint="eastAsia"/>
          <w:color w:val="000000" w:themeColor="text1"/>
          <w:sz w:val="24"/>
          <w:szCs w:val="21"/>
          <w:highlight w:val="none"/>
          <w14:textFill>
            <w14:solidFill>
              <w14:schemeClr w14:val="tx1"/>
            </w14:solidFill>
          </w14:textFill>
        </w:rPr>
        <w:t>各项标准为工程安全文明施工基本要求，各单位安全文明施工标准应不低于此图册相关要求。</w:t>
      </w:r>
    </w:p>
    <w:bookmarkEnd w:id="1142"/>
    <w:bookmarkEnd w:id="1143"/>
    <w:p>
      <w:pPr>
        <w:numPr>
          <w:ilvl w:val="0"/>
          <w:numId w:val="20"/>
        </w:numPr>
        <w:snapToGrid w:val="0"/>
        <w:spacing w:before="120" w:after="120" w:line="360" w:lineRule="auto"/>
        <w:outlineLvl w:val="2"/>
        <w:rPr>
          <w:rFonts w:ascii="宋体" w:cs="新宋体-18030"/>
          <w:b/>
          <w:bCs/>
          <w:color w:val="000000" w:themeColor="text1"/>
          <w:sz w:val="24"/>
          <w:szCs w:val="24"/>
          <w:highlight w:val="none"/>
          <w14:textFill>
            <w14:solidFill>
              <w14:schemeClr w14:val="tx1"/>
            </w14:solidFill>
          </w14:textFill>
        </w:rPr>
      </w:pPr>
      <w:bookmarkStart w:id="1154" w:name="二十一"/>
      <w:bookmarkEnd w:id="1154"/>
      <w:bookmarkStart w:id="1155" w:name="_Toc41569126"/>
      <w:bookmarkStart w:id="1156" w:name="_Toc213658634"/>
      <w:bookmarkStart w:id="1157" w:name="_Toc213660335"/>
      <w:r>
        <w:rPr>
          <w:rFonts w:hint="eastAsia" w:ascii="宋体" w:hAnsi="宋体" w:cs="新宋体-18030"/>
          <w:b/>
          <w:bCs/>
          <w:color w:val="000000" w:themeColor="text1"/>
          <w:sz w:val="24"/>
          <w:szCs w:val="24"/>
          <w:highlight w:val="none"/>
          <w14:textFill>
            <w14:solidFill>
              <w14:schemeClr w14:val="tx1"/>
            </w14:solidFill>
          </w14:textFill>
        </w:rPr>
        <w:t>事故报告与应急救援</w:t>
      </w:r>
      <w:bookmarkEnd w:id="1155"/>
      <w:bookmarkEnd w:id="1156"/>
      <w:bookmarkEnd w:id="1157"/>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承包人应根据发包人及当地应急资源的具体情况，建立相应的应急响应组织，建立统一的应急渠道，以便能迅速处理突发意外。</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承包人应参照发包人的标准，建立生产安全事件报告准则；应建立事故快速报告制度，不得迟报、谎报、漏报和瞒报。</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承包人应建立事故应急救援机制，明确事故处置的基本原则，即现场发生事故时，首先抢救生命，向救援组织报警，并采取措施限制事故扩大。</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建立专项应急响应预案，包括重大人身伤亡事故的应急预案、消防应急预案、“自然灾害”预案（如防台风、防暴雨、防暑等）。承包人应对应急预案进行适当演练，保证应急预案的可操作性。针对施工临建设施、现场固定施工机械和施工围挡等受强台风或超强台风影响的设施及物项，应充分考虑季节性气候特点做好相关防范工作。因承包人考虑不周或防护不足等造成的损失，由承包人自行承担。</w:t>
      </w:r>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承包人应保证准备好为实行应急响应预案所需的设施、设备、器材、用品，并维护其可用。</w:t>
      </w:r>
    </w:p>
    <w:p>
      <w:pPr>
        <w:numPr>
          <w:ilvl w:val="0"/>
          <w:numId w:val="20"/>
        </w:numPr>
        <w:snapToGrid w:val="0"/>
        <w:spacing w:before="120" w:after="120" w:line="360" w:lineRule="auto"/>
        <w:outlineLvl w:val="2"/>
        <w:rPr>
          <w:rFonts w:ascii="宋体" w:cs="新宋体-18030"/>
          <w:b/>
          <w:bCs/>
          <w:color w:val="000000" w:themeColor="text1"/>
          <w:sz w:val="24"/>
          <w:szCs w:val="24"/>
          <w:highlight w:val="none"/>
          <w14:textFill>
            <w14:solidFill>
              <w14:schemeClr w14:val="tx1"/>
            </w14:solidFill>
          </w14:textFill>
        </w:rPr>
      </w:pPr>
      <w:bookmarkStart w:id="1158" w:name="_Toc41569127"/>
      <w:r>
        <w:rPr>
          <w:rFonts w:hint="eastAsia" w:ascii="宋体" w:hAnsi="宋体" w:cs="新宋体-18030"/>
          <w:b/>
          <w:bCs/>
          <w:color w:val="000000" w:themeColor="text1"/>
          <w:sz w:val="24"/>
          <w:szCs w:val="24"/>
          <w:highlight w:val="none"/>
          <w14:textFill>
            <w14:solidFill>
              <w14:schemeClr w14:val="tx1"/>
            </w14:solidFill>
          </w14:textFill>
        </w:rPr>
        <w:t>安全生产考核</w:t>
      </w:r>
      <w:bookmarkEnd w:id="1158"/>
    </w:p>
    <w:p>
      <w:pPr>
        <w:numPr>
          <w:ilvl w:val="1"/>
          <w:numId w:val="20"/>
        </w:numPr>
        <w:tabs>
          <w:tab w:val="left" w:pos="1155"/>
        </w:tabs>
        <w:snapToGrid w:val="0"/>
        <w:spacing w:before="120" w:after="120" w:line="360" w:lineRule="auto"/>
        <w:ind w:left="1134" w:hanging="714"/>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发包人对承包人定期进行安全生经理、安全负责人、安全员等，并约谈承包人企业负责人、公司总部分管工程、安全的负责人，必要时要求承包人公司分管工程、安全的负责人驻点督办。</w:t>
      </w:r>
    </w:p>
    <w:p>
      <w:pPr>
        <w:numPr>
          <w:ilvl w:val="0"/>
          <w:numId w:val="20"/>
        </w:numPr>
        <w:snapToGrid w:val="0"/>
        <w:spacing w:before="120" w:after="120" w:line="360" w:lineRule="auto"/>
        <w:ind w:firstLine="0"/>
        <w:outlineLvl w:val="2"/>
        <w:rPr>
          <w:rFonts w:ascii="宋体" w:hAnsi="宋体" w:cs="新宋体-18030"/>
          <w:bCs/>
          <w:color w:val="000000" w:themeColor="text1"/>
          <w:sz w:val="24"/>
          <w:szCs w:val="24"/>
          <w:highlight w:val="none"/>
          <w14:textFill>
            <w14:solidFill>
              <w14:schemeClr w14:val="tx1"/>
            </w14:solidFill>
          </w14:textFill>
        </w:rPr>
      </w:pPr>
      <w:bookmarkStart w:id="1159" w:name="二十二"/>
      <w:bookmarkEnd w:id="1159"/>
      <w:bookmarkStart w:id="1160" w:name="十四"/>
      <w:bookmarkEnd w:id="1160"/>
      <w:bookmarkStart w:id="1161" w:name="_Toc41569128"/>
      <w:r>
        <w:rPr>
          <w:rFonts w:hint="eastAsia" w:ascii="宋体" w:hAnsi="宋体" w:cs="新宋体-18030"/>
          <w:b/>
          <w:bCs/>
          <w:color w:val="000000" w:themeColor="text1"/>
          <w:sz w:val="24"/>
          <w:szCs w:val="24"/>
          <w:highlight w:val="none"/>
          <w14:textFill>
            <w14:solidFill>
              <w14:schemeClr w14:val="tx1"/>
            </w14:solidFill>
          </w14:textFill>
        </w:rPr>
        <w:t>违约</w:t>
      </w:r>
      <w:bookmarkEnd w:id="1161"/>
    </w:p>
    <w:p>
      <w:pPr>
        <w:tabs>
          <w:tab w:val="left" w:pos="1512"/>
        </w:tabs>
        <w:snapToGrid w:val="0"/>
        <w:spacing w:before="120" w:after="120" w:line="360" w:lineRule="auto"/>
        <w:ind w:firstLine="480" w:firstLineChars="200"/>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26.1</w:t>
      </w:r>
      <w:r>
        <w:rPr>
          <w:rFonts w:hint="eastAsia"/>
          <w:bCs/>
          <w:color w:val="000000" w:themeColor="text1"/>
          <w:szCs w:val="21"/>
          <w:highlight w:val="none"/>
          <w14:textFill>
            <w14:solidFill>
              <w14:schemeClr w14:val="tx1"/>
            </w14:solidFill>
          </w14:textFill>
        </w:rPr>
        <w:t>安全生产事故违约考核</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对于承包人的以下严重违约行为，发包人将可直接扣除相应金额的合同款作为违约金。（以每次或起计算）：</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 xml:space="preserve">承包人发生死亡事故（50-100万元/起）； </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（2）</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承包人发生重伤事故（10-50万元/起）；</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（3）</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承包人导致环境污染受到政府处罚（10万~50万元/起）；</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（4）</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承包人挪用合同安全措施费的，直接扣除挪用金2倍金额的合同款。</w:t>
      </w:r>
    </w:p>
    <w:p>
      <w:pPr>
        <w:tabs>
          <w:tab w:val="left" w:pos="1512"/>
        </w:tabs>
        <w:snapToGrid w:val="0"/>
        <w:spacing w:before="120" w:after="120" w:line="360" w:lineRule="auto"/>
        <w:rPr>
          <w:rFonts w:ascii="宋体" w:hAns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 xml:space="preserve">    26.2</w:t>
      </w:r>
      <w:r>
        <w:rPr>
          <w:rFonts w:hint="eastAsia"/>
          <w:color w:val="000000" w:themeColor="text1"/>
          <w:szCs w:val="21"/>
          <w:highlight w:val="none"/>
          <w14:textFill>
            <w14:solidFill>
              <w14:schemeClr w14:val="tx1"/>
            </w14:solidFill>
          </w14:textFill>
        </w:rPr>
        <w:t>安全管理违约考核</w:t>
      </w:r>
    </w:p>
    <w:p>
      <w:pPr>
        <w:tabs>
          <w:tab w:val="left" w:pos="1512"/>
        </w:tabs>
        <w:snapToGrid w:val="0"/>
        <w:spacing w:before="120" w:after="120" w:line="360" w:lineRule="auto"/>
        <w:ind w:firstLine="480" w:firstLineChars="200"/>
        <w:rPr>
          <w:rFonts w:ascii="宋体" w:cs="新宋体-18030"/>
          <w:bCs/>
          <w:color w:val="000000" w:themeColor="text1"/>
          <w:sz w:val="24"/>
          <w:szCs w:val="24"/>
          <w:highlight w:val="none"/>
          <w14:textFill>
            <w14:solidFill>
              <w14:schemeClr w14:val="tx1"/>
            </w14:solidFill>
          </w14:textFill>
        </w:rPr>
      </w:pPr>
      <w:r>
        <w:rPr>
          <w:rFonts w:hint="eastAsia" w:ascii="宋体" w:hAnsi="宋体" w:cs="新宋体-18030"/>
          <w:bCs/>
          <w:color w:val="000000" w:themeColor="text1"/>
          <w:sz w:val="24"/>
          <w:szCs w:val="24"/>
          <w:highlight w:val="none"/>
          <w14:textFill>
            <w14:solidFill>
              <w14:schemeClr w14:val="tx1"/>
            </w14:solidFill>
          </w14:textFill>
        </w:rPr>
        <w:t>发包人对承包人管理人员及工人严重违章行为实行“一棒出局”零容忍机制，对高处作业不挂安全带、无证从事特殊工作作业、无作业许可进行作业、违章指挥或强令他人冒险作业等行为，一经查处，清退出施工现场，承包人必须无条件执行。</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对于承包人的违约行为，发包人有权在合同款中直接予以扣除相应的违约金。</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发生安全事件隐瞒不报或谎报（5万~10万元）；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（2）</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设备、设施、机具不符合国家标准要求进入现场（1万~2万元）；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（3）</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未办理作业许可进行作业（2万~3万元）；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（4）</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违章指挥、强令冒险作业（2万~3万元）；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（5）</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无方案施工（包括未审批）、不按程序/方案施工，擅自改变既定的安全措施，降低防护水平或条件（1000-20000元）；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（6）</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形成即刻事故风险的违章行为，拒绝及时整改（1万~2万元）；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（7）</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重大安全缺陷未整改继续施工（1万~2万元）；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（8）</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承包人管理人员对重大违章、集体违章、即刻风险不及时制止或拒绝整改（1万~2万元）；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（9）</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承包人对分包商或劳务公司以包代管、包而不管（1万~2万元）；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（10）</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关键岗位人员未持证上岗或从事的工作与其技能不符，逾期不整改（1万~2万元），关键岗位人员未征得建设方同意私自更换（10~50万元）；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（11）</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承包人现场人员个人劳动保护用品质量不符合相应标准，逾期不更换的（1万~5万元）；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（12）</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影响现场整体安全生产条件和环境条件的活动（3万~4万元）；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（13）</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发包人发出的书面整改行动未按期整改（2万~3万元）；</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（14）</w:t>
      </w:r>
      <w:r>
        <w:rPr>
          <w:rFonts w:hint="eastAsia" w:ascii="宋体" w:hAnsi="宋体"/>
          <w:color w:val="000000" w:themeColor="text1"/>
          <w:sz w:val="24"/>
          <w:szCs w:val="24"/>
          <w:highlight w:val="none"/>
          <w14:textFill>
            <w14:solidFill>
              <w14:schemeClr w14:val="tx1"/>
            </w14:solidFill>
          </w14:textFill>
        </w:rPr>
        <w:tab/>
      </w:r>
      <w:r>
        <w:rPr>
          <w:rFonts w:hint="eastAsia" w:ascii="宋体" w:hAnsi="宋体"/>
          <w:color w:val="000000" w:themeColor="text1"/>
          <w:sz w:val="24"/>
          <w:szCs w:val="24"/>
          <w:highlight w:val="none"/>
          <w14:textFill>
            <w14:solidFill>
              <w14:schemeClr w14:val="tx1"/>
            </w14:solidFill>
          </w14:textFill>
        </w:rPr>
        <w:t>被各相关方认为具有较大事故隐患的行为或缺陷（1万~5万元）。</w:t>
      </w:r>
    </w:p>
    <w:p>
      <w:pPr>
        <w:widowControl/>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（15）承包人导致环境污染受到政府处罚（10万~50万元/起）；</w:t>
      </w:r>
    </w:p>
    <w:p>
      <w:pPr>
        <w:widowControl/>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（16）承包人挪用合同安全措施费的，直接扣除挪用金2倍金额的合同款。</w:t>
      </w: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26.3现场人员违章</w:t>
      </w:r>
    </w:p>
    <w:p>
      <w:pPr>
        <w:widowControl/>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甲方或监理人发现承包人现场施工人员发生违章行为的，将由监理人按照《安全文明施工违章考核表》对承包人进行考核。</w:t>
      </w:r>
    </w:p>
    <w:p>
      <w:pPr>
        <w:widowControl/>
        <w:snapToGrid w:val="0"/>
        <w:spacing w:line="360" w:lineRule="auto"/>
        <w:ind w:firstLine="480" w:firstLineChars="200"/>
        <w:jc w:val="center"/>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安全文明施工违章考核表</w:t>
      </w:r>
    </w:p>
    <w:tbl>
      <w:tblPr>
        <w:tblStyle w:val="37"/>
        <w:tblW w:w="935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20"/>
        <w:gridCol w:w="7072"/>
        <w:gridCol w:w="15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8" w:hRule="atLeast"/>
        </w:trPr>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序号</w:t>
            </w:r>
          </w:p>
        </w:tc>
        <w:tc>
          <w:tcPr>
            <w:tcW w:w="707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违章行为</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考核扣款标准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一</w:t>
            </w:r>
          </w:p>
        </w:tc>
        <w:tc>
          <w:tcPr>
            <w:tcW w:w="7072" w:type="dxa"/>
            <w:vAlign w:val="center"/>
          </w:tcPr>
          <w:p>
            <w:pPr>
              <w:snapToGrid w:val="0"/>
              <w:spacing w:line="360" w:lineRule="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安全施工</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穿高跟鞋，露脚趾、带钉鞋、凉鞋、裙子、短裤、背心或裸背、长发披肩进入施工现场。</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100元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酒后进入施工现场。</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500元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w:t>
            </w:r>
          </w:p>
        </w:tc>
        <w:tc>
          <w:tcPr>
            <w:tcW w:w="7072" w:type="dxa"/>
            <w:vAlign w:val="center"/>
          </w:tcPr>
          <w:p>
            <w:pPr>
              <w:snapToGrid w:val="0"/>
              <w:spacing w:line="360" w:lineRule="auto"/>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现场作业人员未进行安全教育的</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200元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4</w:t>
            </w:r>
          </w:p>
        </w:tc>
        <w:tc>
          <w:tcPr>
            <w:tcW w:w="7072" w:type="dxa"/>
            <w:vAlign w:val="center"/>
          </w:tcPr>
          <w:p>
            <w:pPr>
              <w:snapToGrid w:val="0"/>
              <w:spacing w:line="360" w:lineRule="auto"/>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违反起重作业“十不吊”</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200元/人次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5</w:t>
            </w:r>
          </w:p>
        </w:tc>
        <w:tc>
          <w:tcPr>
            <w:tcW w:w="7072" w:type="dxa"/>
            <w:vAlign w:val="center"/>
          </w:tcPr>
          <w:p>
            <w:pPr>
              <w:snapToGrid w:val="0"/>
              <w:spacing w:line="360" w:lineRule="auto"/>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起重机作业完成后，钢丝绳未摘除，吊钩未复位</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6</w:t>
            </w:r>
          </w:p>
        </w:tc>
        <w:tc>
          <w:tcPr>
            <w:tcW w:w="7072" w:type="dxa"/>
            <w:vAlign w:val="center"/>
          </w:tcPr>
          <w:p>
            <w:pPr>
              <w:snapToGrid w:val="0"/>
              <w:spacing w:line="360" w:lineRule="auto"/>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作业人员未按规定佩戴劳动防护用品</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7</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易燃易爆物品等危险品</w:t>
            </w:r>
            <w:r>
              <w:rPr>
                <w:rFonts w:hint="eastAsia"/>
                <w:color w:val="000000" w:themeColor="text1"/>
                <w:szCs w:val="21"/>
                <w:highlight w:val="none"/>
                <w14:textFill>
                  <w14:solidFill>
                    <w14:schemeClr w14:val="tx1"/>
                  </w14:solidFill>
                </w14:textFill>
              </w:rPr>
              <w:t>未按规定使用、管理和存放，爆破作业违章、违规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8</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施工作业无安全监管人员</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危险区域或夜间施工无醒目的安全警示标志的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4" w:hRule="atLeast"/>
        </w:trPr>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9</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进入施工现场不戴安全帽，或佩戴不合格的安全帽，或不正确配戴安全帽。</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100元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高空</w:t>
            </w:r>
            <w:r>
              <w:rPr>
                <w:rFonts w:hint="eastAsia"/>
                <w:color w:val="000000" w:themeColor="text1"/>
                <w:szCs w:val="21"/>
                <w:highlight w:val="none"/>
                <w14:textFill>
                  <w14:solidFill>
                    <w14:schemeClr w14:val="tx1"/>
                  </w14:solidFill>
                </w14:textFill>
              </w:rPr>
              <w:t>（架）</w:t>
            </w:r>
            <w:r>
              <w:rPr>
                <w:color w:val="000000" w:themeColor="text1"/>
                <w:szCs w:val="21"/>
                <w:highlight w:val="none"/>
                <w14:textFill>
                  <w14:solidFill>
                    <w14:schemeClr w14:val="tx1"/>
                  </w14:solidFill>
                </w14:textFill>
              </w:rPr>
              <w:t>作业或临边作业不系安全带的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w:t>
            </w:r>
            <w:r>
              <w:rPr>
                <w:rFonts w:hint="eastAsia"/>
                <w:color w:val="000000" w:themeColor="text1"/>
                <w:szCs w:val="21"/>
                <w:highlight w:val="none"/>
                <w14:textFill>
                  <w14:solidFill>
                    <w14:schemeClr w14:val="tx1"/>
                  </w14:solidFill>
                </w14:textFill>
              </w:rPr>
              <w:t>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8" w:hRule="atLeast"/>
        </w:trPr>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11</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“洞口、临边”无防护栏杆、网或安全网搭设不符合要求</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r>
              <w:rPr>
                <w:color w:val="000000" w:themeColor="text1"/>
                <w:szCs w:val="21"/>
                <w:highlight w:val="none"/>
                <w14:textFill>
                  <w14:solidFill>
                    <w14:schemeClr w14:val="tx1"/>
                  </w14:solidFill>
                </w14:textFill>
              </w:rPr>
              <w:t>/处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12</w:t>
            </w:r>
          </w:p>
        </w:tc>
        <w:tc>
          <w:tcPr>
            <w:tcW w:w="7072" w:type="dxa"/>
            <w:vAlign w:val="center"/>
          </w:tcPr>
          <w:p>
            <w:pPr>
              <w:keepNext/>
              <w:keepLines/>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施工临时用电不符合</w:t>
            </w:r>
            <w:r>
              <w:rPr>
                <w:rFonts w:hint="eastAsia"/>
                <w:color w:val="000000" w:themeColor="text1"/>
                <w:szCs w:val="21"/>
                <w:highlight w:val="none"/>
                <w14:textFill>
                  <w14:solidFill>
                    <w14:schemeClr w14:val="tx1"/>
                  </w14:solidFill>
                </w14:textFill>
              </w:rPr>
              <w:t>“一机一闸一漏”，未按要求接地，无漏电保护</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r>
              <w:rPr>
                <w:rFonts w:hint="eastAsia"/>
                <w:color w:val="000000" w:themeColor="text1"/>
                <w:szCs w:val="21"/>
                <w:highlight w:val="none"/>
                <w14:textFill>
                  <w14:solidFill>
                    <w14:schemeClr w14:val="tx1"/>
                  </w14:solidFill>
                </w14:textFill>
              </w:rPr>
              <w:t>00元</w:t>
            </w:r>
            <w:r>
              <w:rPr>
                <w:color w:val="000000" w:themeColor="text1"/>
                <w:szCs w:val="21"/>
                <w:highlight w:val="none"/>
                <w14:textFill>
                  <w14:solidFill>
                    <w14:schemeClr w14:val="tx1"/>
                  </w14:solidFill>
                </w14:textFill>
              </w:rPr>
              <w:t>/处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95" w:hRule="atLeast"/>
        </w:trPr>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13</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作业人员在无防护的支撑上行走</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200</w:t>
            </w:r>
            <w:r>
              <w:rPr>
                <w:rFonts w:hint="eastAsia"/>
                <w:color w:val="000000" w:themeColor="text1"/>
                <w:szCs w:val="21"/>
                <w:highlight w:val="none"/>
                <w14:textFill>
                  <w14:solidFill>
                    <w14:schemeClr w14:val="tx1"/>
                  </w14:solidFill>
                </w14:textFill>
              </w:rPr>
              <w:t>元</w:t>
            </w:r>
            <w:r>
              <w:rPr>
                <w:color w:val="000000" w:themeColor="text1"/>
                <w:szCs w:val="21"/>
                <w:highlight w:val="none"/>
                <w14:textFill>
                  <w14:solidFill>
                    <w14:schemeClr w14:val="tx1"/>
                  </w14:solidFill>
                </w14:textFill>
              </w:rPr>
              <w:t>/人次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14</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现场无足够的有效的消防器材</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无防火疏散通道</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无明显的防火标志</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15</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工人宿舍乱拉乱接电线</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使用大功率电器</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16</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特种作业人员无证操作</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500元/人次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17</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班前不进行安全交底，无交底记录</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18</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危险性较大分部分项工程未按照专项施工方案落实安全措施</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500</w:t>
            </w:r>
            <w:r>
              <w:rPr>
                <w:rFonts w:hint="eastAsia"/>
                <w:color w:val="000000" w:themeColor="text1"/>
                <w:szCs w:val="21"/>
                <w:highlight w:val="none"/>
                <w14:textFill>
                  <w14:solidFill>
                    <w14:schemeClr w14:val="tx1"/>
                  </w14:solidFill>
                </w14:textFill>
              </w:rPr>
              <w:t>-1000元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19</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在施工中存在其他</w:t>
            </w:r>
            <w:r>
              <w:rPr>
                <w:rFonts w:hint="eastAsia"/>
                <w:color w:val="000000" w:themeColor="text1"/>
                <w:szCs w:val="21"/>
                <w:highlight w:val="none"/>
                <w14:textFill>
                  <w14:solidFill>
                    <w14:schemeClr w14:val="tx1"/>
                  </w14:solidFill>
                </w14:textFill>
              </w:rPr>
              <w:t>违章</w:t>
            </w:r>
            <w:r>
              <w:rPr>
                <w:color w:val="000000" w:themeColor="text1"/>
                <w:szCs w:val="21"/>
                <w:highlight w:val="none"/>
                <w14:textFill>
                  <w14:solidFill>
                    <w14:schemeClr w14:val="tx1"/>
                  </w14:solidFill>
                </w14:textFill>
              </w:rPr>
              <w:t>作业行为的</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给予</w:t>
            </w:r>
            <w:r>
              <w:rPr>
                <w:rFonts w:hint="eastAsia"/>
                <w:color w:val="000000" w:themeColor="text1"/>
                <w:szCs w:val="21"/>
                <w:highlight w:val="none"/>
                <w14:textFill>
                  <w14:solidFill>
                    <w14:schemeClr w14:val="tx1"/>
                  </w14:solidFill>
                </w14:textFill>
              </w:rPr>
              <w:t>100-</w:t>
            </w:r>
            <w:r>
              <w:rPr>
                <w:color w:val="000000" w:themeColor="text1"/>
                <w:szCs w:val="21"/>
                <w:highlight w:val="none"/>
                <w14:textFill>
                  <w14:solidFill>
                    <w14:schemeClr w14:val="tx1"/>
                  </w14:solidFill>
                </w14:textFill>
              </w:rPr>
              <w:t>1000元处罚</w:t>
            </w:r>
            <w:r>
              <w:rPr>
                <w:rFonts w:hint="eastAsia"/>
                <w:color w:val="000000" w:themeColor="text1"/>
                <w:szCs w:val="21"/>
                <w:highlight w:val="none"/>
                <w14:textFill>
                  <w14:solidFill>
                    <w14:schemeClr w14:val="tx1"/>
                  </w14:solidFill>
                </w14:textFill>
              </w:rPr>
              <w:t>，同类行为反复出现或性质较为恶劣的可以加重或加倍处罚</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二</w:t>
            </w:r>
          </w:p>
        </w:tc>
        <w:tc>
          <w:tcPr>
            <w:tcW w:w="7072" w:type="dxa"/>
            <w:vAlign w:val="center"/>
          </w:tcPr>
          <w:p>
            <w:pPr>
              <w:snapToGrid w:val="0"/>
              <w:spacing w:line="360" w:lineRule="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文明施工</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工地未按照施工承包合同及发包人要求或其他相关规定制作围挡</w:t>
            </w:r>
            <w:r>
              <w:rPr>
                <w:rFonts w:hint="eastAsia"/>
                <w:color w:val="000000" w:themeColor="text1"/>
                <w:szCs w:val="21"/>
                <w:highlight w:val="none"/>
                <w14:textFill>
                  <w14:solidFill>
                    <w14:schemeClr w14:val="tx1"/>
                  </w14:solidFill>
                </w14:textFill>
              </w:rPr>
              <w:t>（蔽），</w:t>
            </w:r>
            <w:r>
              <w:rPr>
                <w:color w:val="000000" w:themeColor="text1"/>
                <w:szCs w:val="21"/>
                <w:highlight w:val="none"/>
                <w14:textFill>
                  <w14:solidFill>
                    <w14:schemeClr w14:val="tx1"/>
                  </w14:solidFill>
                </w14:textFill>
              </w:rPr>
              <w:t>或围挡</w:t>
            </w:r>
            <w:r>
              <w:rPr>
                <w:rFonts w:hint="eastAsia"/>
                <w:color w:val="000000" w:themeColor="text1"/>
                <w:szCs w:val="21"/>
                <w:highlight w:val="none"/>
                <w14:textFill>
                  <w14:solidFill>
                    <w14:schemeClr w14:val="tx1"/>
                  </w14:solidFill>
                </w14:textFill>
              </w:rPr>
              <w:t>（蔽）不规范</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无大门</w:t>
            </w:r>
            <w:r>
              <w:rPr>
                <w:rFonts w:hint="eastAsia"/>
                <w:color w:val="000000" w:themeColor="text1"/>
                <w:szCs w:val="21"/>
                <w:highlight w:val="none"/>
                <w14:textFill>
                  <w14:solidFill>
                    <w14:schemeClr w14:val="tx1"/>
                  </w14:solidFill>
                </w14:textFill>
              </w:rPr>
              <w:t>，无</w:t>
            </w:r>
            <w:r>
              <w:rPr>
                <w:color w:val="000000" w:themeColor="text1"/>
                <w:szCs w:val="21"/>
                <w:highlight w:val="none"/>
                <w14:textFill>
                  <w14:solidFill>
                    <w14:schemeClr w14:val="tx1"/>
                  </w14:solidFill>
                </w14:textFill>
              </w:rPr>
              <w:t>门口无企业标志</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不张贴</w:t>
            </w:r>
            <w:r>
              <w:rPr>
                <w:rFonts w:hint="eastAsia"/>
                <w:color w:val="000000" w:themeColor="text1"/>
                <w:szCs w:val="21"/>
                <w:highlight w:val="none"/>
                <w14:textFill>
                  <w14:solidFill>
                    <w14:schemeClr w14:val="tx1"/>
                  </w14:solidFill>
                </w14:textFill>
              </w:rPr>
              <w:t>“七牌二图”、重大危险源公示牌、每日作业危险源及防范措施告知牌，无门卫及出入管理制度</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施工现场道路</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材料堆场未硬化</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4</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现场材料</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机具未按照</w:t>
            </w:r>
            <w:r>
              <w:rPr>
                <w:rFonts w:hint="eastAsia"/>
                <w:color w:val="000000" w:themeColor="text1"/>
                <w:szCs w:val="21"/>
                <w:highlight w:val="none"/>
                <w14:textFill>
                  <w14:solidFill>
                    <w14:schemeClr w14:val="tx1"/>
                  </w14:solidFill>
                </w14:textFill>
              </w:rPr>
              <w:t>分类堆放</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5</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未设洗车槽</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排水沟</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沉淀池等设施</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或洗车槽</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排水沟</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沉淀池未有效使用</w:t>
            </w:r>
            <w:r>
              <w:rPr>
                <w:rFonts w:hint="eastAsia"/>
                <w:color w:val="000000" w:themeColor="text1"/>
                <w:szCs w:val="21"/>
                <w:highlight w:val="none"/>
                <w14:textFill>
                  <w14:solidFill>
                    <w14:schemeClr w14:val="tx1"/>
                  </w14:solidFill>
                </w14:textFill>
              </w:rPr>
              <w:t>、及时清理的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300元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2" w:hRule="atLeast"/>
        </w:trPr>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6</w:t>
            </w:r>
          </w:p>
        </w:tc>
        <w:tc>
          <w:tcPr>
            <w:tcW w:w="7072" w:type="dxa"/>
            <w:vAlign w:val="center"/>
          </w:tcPr>
          <w:p>
            <w:pPr>
              <w:snapToGrid w:val="0"/>
              <w:rPr>
                <w:bCs/>
                <w:color w:val="000000" w:themeColor="text1"/>
                <w:szCs w:val="21"/>
                <w:highlight w:val="none"/>
                <w14:textFill>
                  <w14:solidFill>
                    <w14:schemeClr w14:val="tx1"/>
                  </w14:solidFill>
                </w14:textFill>
              </w:rPr>
            </w:pPr>
            <w:r>
              <w:rPr>
                <w:bCs/>
                <w:color w:val="000000" w:themeColor="text1"/>
                <w:szCs w:val="21"/>
                <w:highlight w:val="none"/>
                <w14:textFill>
                  <w14:solidFill>
                    <w14:schemeClr w14:val="tx1"/>
                  </w14:solidFill>
                </w14:textFill>
              </w:rPr>
              <w:t>运输材料</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混凝土</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渣土</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垃圾车辆未按规定加盖</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泥沙随车轮带出场外</w:t>
            </w:r>
            <w:r>
              <w:rPr>
                <w:rFonts w:hint="eastAsia"/>
                <w:bCs/>
                <w:color w:val="000000" w:themeColor="text1"/>
                <w:szCs w:val="21"/>
                <w:highlight w:val="none"/>
                <w14:textFill>
                  <w14:solidFill>
                    <w14:schemeClr w14:val="tx1"/>
                  </w14:solidFill>
                </w14:textFill>
              </w:rPr>
              <w:t>，</w:t>
            </w:r>
            <w:r>
              <w:rPr>
                <w:bCs/>
                <w:color w:val="000000" w:themeColor="text1"/>
                <w:szCs w:val="21"/>
                <w:highlight w:val="none"/>
                <w14:textFill>
                  <w14:solidFill>
                    <w14:schemeClr w14:val="tx1"/>
                  </w14:solidFill>
                </w14:textFill>
              </w:rPr>
              <w:t>影响市容或因违规作业被相关部门查处的</w:t>
            </w:r>
          </w:p>
        </w:tc>
        <w:tc>
          <w:tcPr>
            <w:tcW w:w="1562" w:type="dxa"/>
            <w:vAlign w:val="center"/>
          </w:tcPr>
          <w:p>
            <w:pPr>
              <w:keepNext/>
              <w:keepLines/>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7</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施工现场脏乱差，生活垃圾清理不及时的</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8</w:t>
            </w:r>
          </w:p>
        </w:tc>
        <w:tc>
          <w:tcPr>
            <w:tcW w:w="7072" w:type="dxa"/>
            <w:vAlign w:val="center"/>
          </w:tcPr>
          <w:p>
            <w:pPr>
              <w:snapToGrid w:val="0"/>
              <w:spacing w:line="360" w:lineRule="auto"/>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车辆在现场乱停乱放</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9</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施工人员未在指定的吸烟点吸烟，乱扔烟头</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未按要求落实扬尘污染防治6个100%</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11</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在施工作业中存在其他不文明行为的</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给予</w:t>
            </w:r>
            <w:r>
              <w:rPr>
                <w:rFonts w:hint="eastAsia"/>
                <w:color w:val="000000" w:themeColor="text1"/>
                <w:szCs w:val="21"/>
                <w:highlight w:val="none"/>
                <w14:textFill>
                  <w14:solidFill>
                    <w14:schemeClr w14:val="tx1"/>
                  </w14:solidFill>
                </w14:textFill>
              </w:rPr>
              <w:t>100-</w:t>
            </w:r>
            <w:r>
              <w:rPr>
                <w:color w:val="000000" w:themeColor="text1"/>
                <w:szCs w:val="21"/>
                <w:highlight w:val="none"/>
                <w14:textFill>
                  <w14:solidFill>
                    <w14:schemeClr w14:val="tx1"/>
                  </w14:solidFill>
                </w14:textFill>
              </w:rPr>
              <w:t>1000元处罚</w:t>
            </w:r>
            <w:r>
              <w:rPr>
                <w:rFonts w:hint="eastAsia"/>
                <w:color w:val="000000" w:themeColor="text1"/>
                <w:szCs w:val="21"/>
                <w:highlight w:val="none"/>
                <w14:textFill>
                  <w14:solidFill>
                    <w14:schemeClr w14:val="tx1"/>
                  </w14:solidFill>
                </w14:textFill>
              </w:rPr>
              <w:t>，同类行为反复出现的可以加重或加倍处罚</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pBdr>
                <w:bottom w:val="single" w:color="auto" w:sz="6" w:space="1"/>
              </w:pBdr>
              <w:tabs>
                <w:tab w:val="center" w:pos="4153"/>
                <w:tab w:val="right" w:pos="8306"/>
              </w:tabs>
              <w:snapToGrid w:val="0"/>
              <w:spacing w:line="360" w:lineRule="auto"/>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三</w:t>
            </w:r>
          </w:p>
        </w:tc>
        <w:tc>
          <w:tcPr>
            <w:tcW w:w="7072" w:type="dxa"/>
            <w:vAlign w:val="center"/>
          </w:tcPr>
          <w:p>
            <w:pPr>
              <w:pBdr>
                <w:bottom w:val="single" w:color="auto" w:sz="6" w:space="1"/>
              </w:pBdr>
              <w:tabs>
                <w:tab w:val="center" w:pos="4153"/>
                <w:tab w:val="right" w:pos="8306"/>
              </w:tabs>
              <w:snapToGrid w:val="0"/>
              <w:spacing w:line="360" w:lineRule="auto"/>
              <w:rPr>
                <w:b/>
                <w:bCs/>
                <w:color w:val="000000" w:themeColor="text1"/>
                <w:szCs w:val="21"/>
                <w:highlight w:val="none"/>
                <w14:textFill>
                  <w14:solidFill>
                    <w14:schemeClr w14:val="tx1"/>
                  </w14:solidFill>
                </w14:textFill>
              </w:rPr>
            </w:pPr>
            <w:r>
              <w:rPr>
                <w:rFonts w:hint="eastAsia"/>
                <w:b/>
                <w:bCs/>
                <w:color w:val="000000" w:themeColor="text1"/>
                <w:szCs w:val="21"/>
                <w:highlight w:val="none"/>
                <w14:textFill>
                  <w14:solidFill>
                    <w14:schemeClr w14:val="tx1"/>
                  </w14:solidFill>
                </w14:textFill>
              </w:rPr>
              <w:t>安全文明施工管理</w:t>
            </w:r>
          </w:p>
        </w:tc>
        <w:tc>
          <w:tcPr>
            <w:tcW w:w="1562" w:type="dxa"/>
            <w:vAlign w:val="center"/>
          </w:tcPr>
          <w:p>
            <w:pPr>
              <w:keepNext/>
              <w:keepLines/>
              <w:snapToGrid w:val="0"/>
              <w:spacing w:line="360" w:lineRule="auto"/>
              <w:jc w:val="center"/>
              <w:textAlignment w:val="baseline"/>
              <w:outlineLvl w:val="0"/>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1</w:t>
            </w:r>
          </w:p>
        </w:tc>
        <w:tc>
          <w:tcPr>
            <w:tcW w:w="7072" w:type="dxa"/>
            <w:vAlign w:val="center"/>
          </w:tcPr>
          <w:p>
            <w:pPr>
              <w:pBdr>
                <w:bottom w:val="single" w:color="auto" w:sz="6" w:space="1"/>
              </w:pBdr>
              <w:tabs>
                <w:tab w:val="center" w:pos="4153"/>
                <w:tab w:val="right" w:pos="8306"/>
              </w:tabs>
              <w:snapToGrid w:val="0"/>
              <w:rPr>
                <w:bCs/>
                <w:color w:val="000000" w:themeColor="text1"/>
                <w:szCs w:val="21"/>
                <w:highlight w:val="none"/>
                <w14:textFill>
                  <w14:solidFill>
                    <w14:schemeClr w14:val="tx1"/>
                  </w14:solidFill>
                </w14:textFill>
              </w:rPr>
            </w:pPr>
            <w:r>
              <w:rPr>
                <w:rFonts w:hint="eastAsia"/>
                <w:bCs/>
                <w:color w:val="000000" w:themeColor="text1"/>
                <w:szCs w:val="21"/>
                <w:highlight w:val="none"/>
                <w14:textFill>
                  <w14:solidFill>
                    <w14:schemeClr w14:val="tx1"/>
                  </w14:solidFill>
                </w14:textFill>
              </w:rPr>
              <w:t>现场管理责任人未落实安全职责</w:t>
            </w:r>
          </w:p>
        </w:tc>
        <w:tc>
          <w:tcPr>
            <w:tcW w:w="1562" w:type="dxa"/>
            <w:vAlign w:val="center"/>
          </w:tcPr>
          <w:p>
            <w:pPr>
              <w:keepNext/>
              <w:keepLines/>
              <w:snapToGrid w:val="0"/>
              <w:spacing w:line="360" w:lineRule="auto"/>
              <w:jc w:val="center"/>
              <w:textAlignment w:val="baseline"/>
              <w:outlineLvl w:val="0"/>
              <w:rPr>
                <w:color w:val="000000" w:themeColor="text1"/>
                <w:szCs w:val="21"/>
                <w:highlight w:val="none"/>
                <w14:textFill>
                  <w14:solidFill>
                    <w14:schemeClr w14:val="tx1"/>
                  </w14:solidFill>
                </w14:textFill>
              </w:rPr>
            </w:pPr>
            <w:bookmarkStart w:id="1162" w:name="_Toc8274"/>
            <w:bookmarkStart w:id="1163" w:name="_Toc27704"/>
            <w:bookmarkStart w:id="1164" w:name="_Toc115428701"/>
            <w:bookmarkStart w:id="1165" w:name="_Toc14383"/>
            <w:bookmarkStart w:id="1166" w:name="_Toc114231272"/>
            <w:bookmarkStart w:id="1167" w:name="_Toc63618714"/>
            <w:bookmarkStart w:id="1168" w:name="_Toc115428970"/>
            <w:bookmarkStart w:id="1169" w:name="_Toc112848801"/>
            <w:bookmarkStart w:id="1170" w:name="_Toc118446924"/>
            <w:r>
              <w:rPr>
                <w:rFonts w:hint="eastAsia"/>
                <w:color w:val="000000" w:themeColor="text1"/>
                <w:szCs w:val="21"/>
                <w:highlight w:val="none"/>
                <w14:textFill>
                  <w14:solidFill>
                    <w14:schemeClr w14:val="tx1"/>
                  </w14:solidFill>
                </w14:textFill>
              </w:rPr>
              <w:t>1000元</w:t>
            </w:r>
            <w:bookmarkEnd w:id="1162"/>
            <w:bookmarkEnd w:id="1163"/>
            <w:bookmarkEnd w:id="1164"/>
            <w:bookmarkEnd w:id="1165"/>
            <w:bookmarkEnd w:id="1166"/>
            <w:bookmarkEnd w:id="1167"/>
            <w:bookmarkEnd w:id="1168"/>
            <w:bookmarkEnd w:id="1169"/>
            <w:bookmarkEnd w:id="1170"/>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2</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招用未经资质审查或审查不合格的外包队伍</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3</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未按要求进行安全文明检查（无记录）</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4</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未按要求召开安全会议（无记录）</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未按相关整改通知要求完成整改或没有及时整改</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500元</w:t>
            </w:r>
            <w:r>
              <w:rPr>
                <w:rFonts w:hint="eastAsia"/>
                <w:color w:val="000000" w:themeColor="text1"/>
                <w:szCs w:val="21"/>
                <w:highlight w:val="none"/>
                <w14:textFill>
                  <w14:solidFill>
                    <w14:schemeClr w14:val="tx1"/>
                  </w14:solidFill>
                </w14:textFill>
              </w:rPr>
              <w:t>/项</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6</w:t>
            </w:r>
          </w:p>
        </w:tc>
        <w:tc>
          <w:tcPr>
            <w:tcW w:w="7072" w:type="dxa"/>
            <w:vAlign w:val="center"/>
          </w:tcPr>
          <w:p>
            <w:pPr>
              <w:snapToGrid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相关安全管理资料、报告、文件未及时上报或更新</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5</w:t>
            </w:r>
            <w:r>
              <w:rPr>
                <w:rFonts w:hint="eastAsia"/>
                <w:color w:val="000000" w:themeColor="text1"/>
                <w:szCs w:val="21"/>
                <w:highlight w:val="none"/>
                <w14:textFill>
                  <w14:solidFill>
                    <w14:schemeClr w14:val="tx1"/>
                  </w14:solidFill>
                </w14:textFill>
              </w:rPr>
              <w:t>00元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720" w:type="dxa"/>
            <w:vAlign w:val="center"/>
          </w:tcPr>
          <w:p>
            <w:pPr>
              <w:snapToGrid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7</w:t>
            </w:r>
          </w:p>
        </w:tc>
        <w:tc>
          <w:tcPr>
            <w:tcW w:w="7072" w:type="dxa"/>
            <w:vAlign w:val="center"/>
          </w:tcPr>
          <w:p>
            <w:pPr>
              <w:snapToGrid w:val="0"/>
              <w:rPr>
                <w:color w:val="000000" w:themeColor="text1"/>
                <w:szCs w:val="21"/>
                <w:highlight w:val="none"/>
                <w14:textFill>
                  <w14:solidFill>
                    <w14:schemeClr w14:val="tx1"/>
                  </w14:solidFill>
                </w14:textFill>
              </w:rPr>
            </w:pPr>
            <w:r>
              <w:rPr>
                <w:color w:val="000000" w:themeColor="text1"/>
                <w:szCs w:val="21"/>
                <w:highlight w:val="none"/>
                <w14:textFill>
                  <w14:solidFill>
                    <w14:schemeClr w14:val="tx1"/>
                  </w14:solidFill>
                </w14:textFill>
              </w:rPr>
              <w:t>在管理活动中存在其他失责情况的</w:t>
            </w:r>
            <w:r>
              <w:rPr>
                <w:rFonts w:hint="eastAsia"/>
                <w:color w:val="000000" w:themeColor="text1"/>
                <w:szCs w:val="21"/>
                <w:highlight w:val="none"/>
                <w14:textFill>
                  <w14:solidFill>
                    <w14:schemeClr w14:val="tx1"/>
                  </w14:solidFill>
                </w14:textFill>
              </w:rPr>
              <w:t>，</w:t>
            </w:r>
            <w:r>
              <w:rPr>
                <w:color w:val="000000" w:themeColor="text1"/>
                <w:szCs w:val="21"/>
                <w:highlight w:val="none"/>
                <w14:textFill>
                  <w14:solidFill>
                    <w14:schemeClr w14:val="tx1"/>
                  </w14:solidFill>
                </w14:textFill>
              </w:rPr>
              <w:t>给予</w:t>
            </w:r>
            <w:r>
              <w:rPr>
                <w:rFonts w:hint="eastAsia"/>
                <w:color w:val="000000" w:themeColor="text1"/>
                <w:szCs w:val="21"/>
                <w:highlight w:val="none"/>
                <w14:textFill>
                  <w14:solidFill>
                    <w14:schemeClr w14:val="tx1"/>
                  </w14:solidFill>
                </w14:textFill>
              </w:rPr>
              <w:t>500-</w:t>
            </w:r>
            <w:r>
              <w:rPr>
                <w:color w:val="000000" w:themeColor="text1"/>
                <w:szCs w:val="21"/>
                <w:highlight w:val="none"/>
                <w14:textFill>
                  <w14:solidFill>
                    <w14:schemeClr w14:val="tx1"/>
                  </w14:solidFill>
                </w14:textFill>
              </w:rPr>
              <w:t>5000元处罚</w:t>
            </w:r>
            <w:r>
              <w:rPr>
                <w:rFonts w:hint="eastAsia"/>
                <w:color w:val="000000" w:themeColor="text1"/>
                <w:szCs w:val="21"/>
                <w:highlight w:val="none"/>
                <w14:textFill>
                  <w14:solidFill>
                    <w14:schemeClr w14:val="tx1"/>
                  </w14:solidFill>
                </w14:textFill>
              </w:rPr>
              <w:t>，同类行为反复出现的可以加重或加倍处罚</w:t>
            </w:r>
          </w:p>
        </w:tc>
        <w:tc>
          <w:tcPr>
            <w:tcW w:w="1562" w:type="dxa"/>
            <w:vAlign w:val="center"/>
          </w:tcPr>
          <w:p>
            <w:pPr>
              <w:snapToGrid w:val="0"/>
              <w:spacing w:line="360" w:lineRule="auto"/>
              <w:jc w:val="center"/>
              <w:rPr>
                <w:color w:val="000000" w:themeColor="text1"/>
                <w:szCs w:val="21"/>
                <w:highlight w:val="none"/>
                <w14:textFill>
                  <w14:solidFill>
                    <w14:schemeClr w14:val="tx1"/>
                  </w14:solidFill>
                </w14:textFill>
              </w:rPr>
            </w:pPr>
          </w:p>
        </w:tc>
      </w:tr>
    </w:tbl>
    <w:p>
      <w:pPr>
        <w:snapToGrid w:val="0"/>
        <w:spacing w:line="360" w:lineRule="auto"/>
        <w:ind w:firstLine="420" w:firstLineChars="200"/>
        <w:jc w:val="left"/>
        <w:rPr>
          <w:color w:val="000000" w:themeColor="text1"/>
          <w:szCs w:val="21"/>
          <w:highlight w:val="none"/>
          <w14:textFill>
            <w14:solidFill>
              <w14:schemeClr w14:val="tx1"/>
            </w14:solidFill>
          </w14:textFill>
        </w:rPr>
      </w:pPr>
    </w:p>
    <w:p>
      <w:pPr>
        <w:snapToGrid w:val="0"/>
        <w:spacing w:line="360" w:lineRule="auto"/>
        <w:ind w:firstLine="480" w:firstLineChars="200"/>
        <w:jc w:val="left"/>
        <w:rPr>
          <w:rFonts w:ascii="宋体" w:hAnsi="宋体"/>
          <w:color w:val="000000" w:themeColor="text1"/>
          <w:sz w:val="24"/>
          <w:szCs w:val="24"/>
          <w:highlight w:val="none"/>
          <w14:textFill>
            <w14:solidFill>
              <w14:schemeClr w14:val="tx1"/>
            </w14:solidFill>
          </w14:textFill>
        </w:rPr>
      </w:pPr>
      <w:r>
        <w:rPr>
          <w:rFonts w:hint="eastAsia" w:ascii="宋体" w:hAnsi="宋体"/>
          <w:color w:val="000000" w:themeColor="text1"/>
          <w:sz w:val="24"/>
          <w:szCs w:val="24"/>
          <w:highlight w:val="none"/>
          <w14:textFill>
            <w14:solidFill>
              <w14:schemeClr w14:val="tx1"/>
            </w14:solidFill>
          </w14:textFill>
        </w:rPr>
        <w:t>26.4另外，相关内容如有重复与前后不一致的，采取就高不就低的原则。</w:t>
      </w:r>
    </w:p>
    <w:p>
      <w:pPr>
        <w:wordWrap w:val="0"/>
        <w:jc w:val="center"/>
        <w:rPr>
          <w:color w:val="000000" w:themeColor="text1"/>
          <w:szCs w:val="21"/>
          <w:highlight w:val="none"/>
          <w14:textFill>
            <w14:solidFill>
              <w14:schemeClr w14:val="tx1"/>
            </w14:solidFill>
          </w14:textFill>
        </w:rPr>
      </w:pPr>
      <w:r>
        <w:rPr>
          <w:rFonts w:hint="eastAsia"/>
          <w:color w:val="000000" w:themeColor="text1"/>
          <w:highlight w:val="none"/>
          <w14:textFill>
            <w14:solidFill>
              <w14:schemeClr w14:val="tx1"/>
            </w14:solidFill>
          </w14:textFill>
        </w:rPr>
        <w:t xml:space="preserve">     </w:t>
      </w:r>
      <w:r>
        <w:rPr>
          <w:rFonts w:hint="eastAsia"/>
          <w:color w:val="000000" w:themeColor="text1"/>
          <w:szCs w:val="21"/>
          <w:highlight w:val="none"/>
          <w14:textFill>
            <w14:solidFill>
              <w14:schemeClr w14:val="tx1"/>
            </w14:solidFill>
          </w14:textFill>
        </w:rPr>
        <w:t>工程违约处理通知书</w:t>
      </w:r>
    </w:p>
    <w:tbl>
      <w:tblPr>
        <w:tblStyle w:val="37"/>
        <w:tblW w:w="829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73"/>
        <w:gridCol w:w="2074"/>
        <w:gridCol w:w="2074"/>
        <w:gridCol w:w="207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14" w:hRule="atLeast"/>
          <w:jc w:val="center"/>
        </w:trPr>
        <w:tc>
          <w:tcPr>
            <w:tcW w:w="2073" w:type="dxa"/>
            <w:tcBorders>
              <w:top w:val="single" w:color="auto" w:sz="4" w:space="0"/>
              <w:left w:val="single" w:color="auto" w:sz="4" w:space="0"/>
              <w:bottom w:val="single" w:color="auto" w:sz="4" w:space="0"/>
              <w:right w:val="single" w:color="auto" w:sz="4" w:space="0"/>
            </w:tcBorders>
            <w:vAlign w:val="center"/>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工程名称</w:t>
            </w:r>
          </w:p>
        </w:tc>
        <w:tc>
          <w:tcPr>
            <w:tcW w:w="2074" w:type="dxa"/>
            <w:tcBorders>
              <w:top w:val="single" w:color="auto" w:sz="4" w:space="0"/>
              <w:left w:val="single" w:color="auto" w:sz="4" w:space="0"/>
              <w:bottom w:val="single" w:color="auto" w:sz="4" w:space="0"/>
              <w:right w:val="single" w:color="auto" w:sz="4" w:space="0"/>
            </w:tcBorders>
            <w:vAlign w:val="center"/>
          </w:tcPr>
          <w:p>
            <w:pPr>
              <w:keepNext/>
              <w:keepLines/>
              <w:wordWrap w:val="0"/>
              <w:jc w:val="center"/>
              <w:outlineLvl w:val="0"/>
              <w:rPr>
                <w:color w:val="000000" w:themeColor="text1"/>
                <w:szCs w:val="21"/>
                <w:highlight w:val="none"/>
                <w14:textFill>
                  <w14:solidFill>
                    <w14:schemeClr w14:val="tx1"/>
                  </w14:solidFill>
                </w14:textFill>
              </w:rPr>
            </w:pPr>
          </w:p>
        </w:tc>
        <w:tc>
          <w:tcPr>
            <w:tcW w:w="2074" w:type="dxa"/>
            <w:tcBorders>
              <w:top w:val="single" w:color="auto" w:sz="4" w:space="0"/>
              <w:left w:val="single" w:color="auto" w:sz="4" w:space="0"/>
              <w:bottom w:val="single" w:color="auto" w:sz="4" w:space="0"/>
              <w:right w:val="single" w:color="auto" w:sz="4" w:space="0"/>
            </w:tcBorders>
            <w:vAlign w:val="center"/>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编号</w:t>
            </w:r>
          </w:p>
        </w:tc>
        <w:tc>
          <w:tcPr>
            <w:tcW w:w="2074" w:type="dxa"/>
            <w:tcBorders>
              <w:top w:val="single" w:color="auto" w:sz="4" w:space="0"/>
              <w:left w:val="single" w:color="auto" w:sz="4" w:space="0"/>
              <w:bottom w:val="single" w:color="auto" w:sz="4" w:space="0"/>
              <w:right w:val="single" w:color="auto" w:sz="4" w:space="0"/>
            </w:tcBorders>
            <w:vAlign w:val="center"/>
          </w:tcPr>
          <w:p>
            <w:pPr>
              <w:keepNext/>
              <w:keepLines/>
              <w:wordWrap w:val="0"/>
              <w:jc w:val="center"/>
              <w:outlineLvl w:val="0"/>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0" w:hRule="atLeast"/>
          <w:jc w:val="center"/>
        </w:trPr>
        <w:tc>
          <w:tcPr>
            <w:tcW w:w="2073"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施工部位</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c>
          <w:tcPr>
            <w:tcW w:w="2074"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日期</w:t>
            </w:r>
          </w:p>
        </w:tc>
        <w:tc>
          <w:tcPr>
            <w:tcW w:w="2074"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年 月 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1" w:hRule="atLeast"/>
          <w:jc w:val="center"/>
        </w:trPr>
        <w:tc>
          <w:tcPr>
            <w:tcW w:w="2073"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违约单位</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c>
          <w:tcPr>
            <w:tcW w:w="2074"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违约处理依据</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5" w:type="dxa"/>
            <w:gridSpan w:val="4"/>
            <w:tcBorders>
              <w:top w:val="single" w:color="auto" w:sz="4" w:space="0"/>
              <w:left w:val="single" w:color="auto" w:sz="4" w:space="0"/>
              <w:bottom w:val="single" w:color="auto" w:sz="4" w:space="0"/>
              <w:right w:val="single" w:color="auto" w:sz="4" w:space="0"/>
            </w:tcBorders>
          </w:tcPr>
          <w:p>
            <w:pPr>
              <w:wordWrap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违约处理事由：</w:t>
            </w:r>
          </w:p>
          <w:p>
            <w:pPr>
              <w:wordWrap w:val="0"/>
              <w:rPr>
                <w:color w:val="000000" w:themeColor="text1"/>
                <w:szCs w:val="21"/>
                <w:highlight w:val="none"/>
                <w14:textFill>
                  <w14:solidFill>
                    <w14:schemeClr w14:val="tx1"/>
                  </w14:solidFill>
                </w14:textFill>
              </w:rPr>
            </w:pPr>
          </w:p>
          <w:p>
            <w:pPr>
              <w:wordWrap w:val="0"/>
              <w:rPr>
                <w:color w:val="000000" w:themeColor="text1"/>
                <w:szCs w:val="21"/>
                <w:highlight w:val="none"/>
                <w14:textFill>
                  <w14:solidFill>
                    <w14:schemeClr w14:val="tx1"/>
                  </w14:solidFill>
                </w14:textFill>
              </w:rPr>
            </w:pPr>
          </w:p>
          <w:p>
            <w:pPr>
              <w:wordWrap w:val="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违约金额：</w:t>
            </w:r>
          </w:p>
          <w:p>
            <w:pPr>
              <w:wordWrap w:val="0"/>
              <w:rPr>
                <w:color w:val="000000" w:themeColor="text1"/>
                <w:szCs w:val="21"/>
                <w:highlight w:val="none"/>
                <w14:textFill>
                  <w14:solidFill>
                    <w14:schemeClr w14:val="tx1"/>
                  </w14:solidFill>
                </w14:textFill>
              </w:rPr>
            </w:pPr>
          </w:p>
          <w:p>
            <w:pPr>
              <w:wordWrap w:val="0"/>
              <w:rPr>
                <w:color w:val="000000" w:themeColor="text1"/>
                <w:szCs w:val="21"/>
                <w:highlight w:val="none"/>
                <w14:textFill>
                  <w14:solidFill>
                    <w14:schemeClr w14:val="tx1"/>
                  </w14:solidFill>
                </w14:textFill>
              </w:rPr>
            </w:pPr>
          </w:p>
          <w:p>
            <w:pPr>
              <w:wordWrap w:val="0"/>
              <w:ind w:firstLine="4200" w:firstLineChars="200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违约处理单位：XX监理公司</w:t>
            </w:r>
          </w:p>
          <w:p>
            <w:pPr>
              <w:wordWrap w:val="0"/>
              <w:ind w:firstLine="4830" w:firstLineChars="230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（盖章）</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95" w:type="dxa"/>
            <w:gridSpan w:val="4"/>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审批栏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31" w:hRule="atLeast"/>
          <w:jc w:val="center"/>
        </w:trPr>
        <w:tc>
          <w:tcPr>
            <w:tcW w:w="2073"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监理总监</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c>
          <w:tcPr>
            <w:tcW w:w="2074" w:type="dxa"/>
            <w:tcBorders>
              <w:top w:val="single" w:color="auto" w:sz="4" w:space="0"/>
              <w:left w:val="single" w:color="auto" w:sz="4" w:space="0"/>
              <w:bottom w:val="single" w:color="auto" w:sz="4" w:space="0"/>
              <w:right w:val="single" w:color="auto" w:sz="4" w:space="0"/>
            </w:tcBorders>
          </w:tcPr>
          <w:p>
            <w:pPr>
              <w:wordWrap w:val="0"/>
              <w:jc w:val="center"/>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发包人</w:t>
            </w:r>
          </w:p>
        </w:tc>
        <w:tc>
          <w:tcPr>
            <w:tcW w:w="2074" w:type="dxa"/>
            <w:tcBorders>
              <w:top w:val="single" w:color="auto" w:sz="4" w:space="0"/>
              <w:left w:val="single" w:color="auto" w:sz="4" w:space="0"/>
              <w:bottom w:val="single" w:color="auto" w:sz="4" w:space="0"/>
              <w:right w:val="single" w:color="auto" w:sz="4" w:space="0"/>
            </w:tcBorders>
          </w:tcPr>
          <w:p>
            <w:pPr>
              <w:keepNext/>
              <w:keepLines/>
              <w:wordWrap w:val="0"/>
              <w:jc w:val="center"/>
              <w:outlineLvl w:val="0"/>
              <w:rPr>
                <w:color w:val="000000" w:themeColor="text1"/>
                <w:szCs w:val="21"/>
                <w:highlight w:val="none"/>
                <w14:textFill>
                  <w14:solidFill>
                    <w14:schemeClr w14:val="tx1"/>
                  </w14:solidFill>
                </w14:textFill>
              </w:rPr>
            </w:pPr>
          </w:p>
        </w:tc>
      </w:tr>
    </w:tbl>
    <w:p>
      <w:pPr>
        <w:ind w:left="240" w:hanging="24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注：1．本单一式四份：发包人存三份、违约单位存一份。</w:t>
      </w:r>
    </w:p>
    <w:p>
      <w:pPr>
        <w:ind w:left="210" w:leftChars="100" w:firstLine="210" w:firstLineChars="100"/>
        <w:rPr>
          <w:color w:val="000000" w:themeColor="text1"/>
          <w:szCs w:val="21"/>
          <w:highlight w:val="none"/>
          <w14:textFill>
            <w14:solidFill>
              <w14:schemeClr w14:val="tx1"/>
            </w14:solidFill>
          </w14:textFill>
        </w:rPr>
      </w:pPr>
      <w:r>
        <w:rPr>
          <w:rFonts w:hint="eastAsia"/>
          <w:color w:val="000000" w:themeColor="text1"/>
          <w:szCs w:val="21"/>
          <w:highlight w:val="none"/>
          <w14:textFill>
            <w14:solidFill>
              <w14:schemeClr w14:val="tx1"/>
            </w14:solidFill>
          </w14:textFill>
        </w:rPr>
        <w:t>2．本单对乙方及分包商违约发出的违约处理通知；无论违约单位接受与否，不影响本单的执行。</w:t>
      </w:r>
    </w:p>
    <w:p>
      <w:pPr>
        <w:ind w:firstLine="420" w:firstLineChars="200"/>
        <w:rPr>
          <w:rFonts w:ascii="Cambria" w:hAnsi="Cambria"/>
          <w:b/>
          <w:bCs/>
          <w:color w:val="000000" w:themeColor="text1"/>
          <w:sz w:val="30"/>
          <w:szCs w:val="30"/>
          <w:highlight w:val="none"/>
          <w14:textFill>
            <w14:solidFill>
              <w14:schemeClr w14:val="tx1"/>
            </w14:solidFill>
          </w14:textFill>
        </w:rPr>
        <w:sectPr>
          <w:headerReference r:id="rId10" w:type="default"/>
          <w:footerReference r:id="rId11" w:type="default"/>
          <w:type w:val="continuous"/>
          <w:pgSz w:w="11906" w:h="16838"/>
          <w:pgMar w:top="1418" w:right="1554" w:bottom="1418" w:left="1531" w:header="851" w:footer="992" w:gutter="0"/>
          <w:cols w:space="720" w:num="1"/>
          <w:titlePg/>
          <w:docGrid w:type="lines" w:linePitch="312" w:charSpace="0"/>
        </w:sectPr>
      </w:pPr>
      <w:r>
        <w:rPr>
          <w:rFonts w:hint="eastAsia"/>
          <w:color w:val="000000" w:themeColor="text1"/>
          <w:szCs w:val="21"/>
          <w:highlight w:val="none"/>
          <w14:textFill>
            <w14:solidFill>
              <w14:schemeClr w14:val="tx1"/>
            </w14:solidFill>
          </w14:textFill>
        </w:rPr>
        <w:t>3．违约处理金额直接在当月的工程进度款中扣除。</w:t>
      </w:r>
    </w:p>
    <w:p>
      <w:pPr>
        <w:spacing w:line="520" w:lineRule="exact"/>
        <w:outlineLvl w:val="0"/>
        <w:rPr>
          <w:rFonts w:ascii="Cambria" w:hAnsi="Cambria"/>
          <w:b/>
          <w:bCs/>
          <w:color w:val="000000" w:themeColor="text1"/>
          <w:sz w:val="28"/>
          <w:szCs w:val="28"/>
          <w:highlight w:val="none"/>
          <w14:textFill>
            <w14:solidFill>
              <w14:schemeClr w14:val="tx1"/>
            </w14:solidFill>
          </w14:textFill>
        </w:rPr>
      </w:pPr>
      <w:bookmarkStart w:id="1171" w:name="_Toc6253"/>
      <w:bookmarkStart w:id="1172" w:name="_Toc118446925"/>
      <w:r>
        <w:rPr>
          <w:rFonts w:hint="eastAsia" w:ascii="Cambria" w:hAnsi="Cambria"/>
          <w:b/>
          <w:bCs/>
          <w:color w:val="000000" w:themeColor="text1"/>
          <w:sz w:val="28"/>
          <w:szCs w:val="28"/>
          <w:highlight w:val="none"/>
          <w14:textFill>
            <w14:solidFill>
              <w14:schemeClr w14:val="tx1"/>
            </w14:solidFill>
          </w14:textFill>
        </w:rPr>
        <w:t>附件17 项目主要管理人员表</w:t>
      </w:r>
      <w:bookmarkEnd w:id="1171"/>
      <w:r>
        <w:rPr>
          <w:rFonts w:hint="eastAsia" w:ascii="Cambria" w:hAnsi="Cambria"/>
          <w:b/>
          <w:bCs/>
          <w:color w:val="000000" w:themeColor="text1"/>
          <w:sz w:val="28"/>
          <w:szCs w:val="28"/>
          <w:highlight w:val="none"/>
          <w14:textFill>
            <w14:solidFill>
              <w14:schemeClr w14:val="tx1"/>
            </w14:solidFill>
          </w14:textFill>
        </w:rPr>
        <w:t>（按投标文件）</w:t>
      </w:r>
      <w:bookmarkEnd w:id="1172"/>
    </w:p>
    <w:p>
      <w:pPr>
        <w:spacing w:line="520" w:lineRule="exact"/>
        <w:rPr>
          <w:rFonts w:ascii="Cambria" w:hAnsi="Cambria"/>
          <w:b/>
          <w:bCs/>
          <w:color w:val="000000" w:themeColor="text1"/>
          <w:sz w:val="28"/>
          <w:szCs w:val="28"/>
          <w:highlight w:val="none"/>
          <w14:textFill>
            <w14:solidFill>
              <w14:schemeClr w14:val="tx1"/>
            </w14:solidFill>
          </w14:textFill>
        </w:rPr>
      </w:pPr>
    </w:p>
    <w:p>
      <w:pPr>
        <w:rPr>
          <w:color w:val="000000" w:themeColor="text1"/>
          <w:sz w:val="28"/>
          <w:szCs w:val="28"/>
          <w:highlight w:val="none"/>
          <w14:textFill>
            <w14:solidFill>
              <w14:schemeClr w14:val="tx1"/>
            </w14:solidFill>
          </w14:textFill>
        </w:rPr>
      </w:pPr>
    </w:p>
    <w:p>
      <w:pPr>
        <w:spacing w:line="520" w:lineRule="exact"/>
        <w:outlineLvl w:val="0"/>
        <w:rPr>
          <w:color w:val="000000" w:themeColor="text1"/>
          <w:sz w:val="28"/>
          <w:szCs w:val="28"/>
          <w:highlight w:val="none"/>
          <w14:textFill>
            <w14:solidFill>
              <w14:schemeClr w14:val="tx1"/>
            </w14:solidFill>
          </w14:textFill>
        </w:rPr>
      </w:pPr>
      <w:bookmarkStart w:id="1173" w:name="_Toc29346"/>
      <w:bookmarkStart w:id="1174" w:name="_Toc118446926"/>
      <w:r>
        <w:rPr>
          <w:rFonts w:hint="eastAsia" w:ascii="Cambria" w:hAnsi="Cambria"/>
          <w:b/>
          <w:bCs/>
          <w:color w:val="000000" w:themeColor="text1"/>
          <w:sz w:val="28"/>
          <w:szCs w:val="28"/>
          <w:highlight w:val="none"/>
          <w14:textFill>
            <w14:solidFill>
              <w14:schemeClr w14:val="tx1"/>
            </w14:solidFill>
          </w14:textFill>
        </w:rPr>
        <w:t>附件18 主要施工机械设备表</w:t>
      </w:r>
      <w:bookmarkEnd w:id="1173"/>
      <w:r>
        <w:rPr>
          <w:rFonts w:hint="eastAsia" w:ascii="Cambria" w:hAnsi="Cambria"/>
          <w:b/>
          <w:bCs/>
          <w:color w:val="000000" w:themeColor="text1"/>
          <w:sz w:val="28"/>
          <w:szCs w:val="28"/>
          <w:highlight w:val="none"/>
          <w14:textFill>
            <w14:solidFill>
              <w14:schemeClr w14:val="tx1"/>
            </w14:solidFill>
          </w14:textFill>
        </w:rPr>
        <w:t>（按投标文件）</w:t>
      </w:r>
      <w:bookmarkEnd w:id="1174"/>
    </w:p>
    <w:p>
      <w:pPr>
        <w:rPr>
          <w:color w:val="000000" w:themeColor="text1"/>
          <w:highlight w:val="none"/>
          <w14:textFill>
            <w14:solidFill>
              <w14:schemeClr w14:val="tx1"/>
            </w14:solidFill>
          </w14:textFill>
        </w:rPr>
      </w:pPr>
    </w:p>
    <w:p>
      <w:pPr>
        <w:spacing w:line="520" w:lineRule="exact"/>
        <w:outlineLvl w:val="0"/>
        <w:rPr>
          <w:rFonts w:ascii="Cambria" w:hAnsi="Cambria"/>
          <w:bCs/>
          <w:color w:val="000000" w:themeColor="text1"/>
          <w:szCs w:val="21"/>
          <w:highlight w:val="none"/>
          <w14:textFill>
            <w14:solidFill>
              <w14:schemeClr w14:val="tx1"/>
            </w14:solidFill>
          </w14:textFill>
        </w:rPr>
        <w:sectPr>
          <w:headerReference r:id="rId13" w:type="first"/>
          <w:footerReference r:id="rId15" w:type="first"/>
          <w:headerReference r:id="rId12" w:type="default"/>
          <w:footerReference r:id="rId14" w:type="default"/>
          <w:pgSz w:w="11906" w:h="16838"/>
          <w:pgMar w:top="1418" w:right="1554" w:bottom="1418" w:left="1531" w:header="851" w:footer="992" w:gutter="0"/>
          <w:cols w:space="720" w:num="1"/>
          <w:titlePg/>
          <w:docGrid w:type="lines" w:linePitch="312" w:charSpace="0"/>
        </w:sectPr>
      </w:pPr>
      <w:bookmarkStart w:id="1175" w:name="_Toc118446927"/>
    </w:p>
    <w:p>
      <w:pPr>
        <w:spacing w:line="520" w:lineRule="exact"/>
        <w:outlineLvl w:val="0"/>
        <w:rPr>
          <w:rFonts w:ascii="Cambria" w:hAnsi="Cambria"/>
          <w:bCs/>
          <w:color w:val="000000" w:themeColor="text1"/>
          <w:szCs w:val="21"/>
          <w:highlight w:val="none"/>
          <w14:textFill>
            <w14:solidFill>
              <w14:schemeClr w14:val="tx1"/>
            </w14:solidFill>
          </w14:textFill>
        </w:rPr>
      </w:pPr>
      <w:r>
        <w:rPr>
          <w:rFonts w:hint="eastAsia" w:ascii="Cambria" w:hAnsi="Cambria"/>
          <w:bCs/>
          <w:color w:val="000000" w:themeColor="text1"/>
          <w:szCs w:val="21"/>
          <w:highlight w:val="none"/>
          <w14:textFill>
            <w14:solidFill>
              <w14:schemeClr w14:val="tx1"/>
            </w14:solidFill>
          </w14:textFill>
        </w:rPr>
        <w:t>附件19安全生产不良行为扣分条款</w:t>
      </w:r>
      <w:bookmarkEnd w:id="1175"/>
    </w:p>
    <w:p>
      <w:pPr>
        <w:jc w:val="center"/>
        <w:rPr>
          <w:b/>
          <w:color w:val="000000" w:themeColor="text1"/>
          <w:sz w:val="28"/>
          <w:szCs w:val="28"/>
          <w:highlight w:val="none"/>
          <w14:textFill>
            <w14:solidFill>
              <w14:schemeClr w14:val="tx1"/>
            </w14:solidFill>
          </w14:textFill>
        </w:rPr>
      </w:pPr>
      <w:r>
        <w:rPr>
          <w:rFonts w:hint="eastAsia"/>
          <w:b/>
          <w:color w:val="000000" w:themeColor="text1"/>
          <w:sz w:val="28"/>
          <w:szCs w:val="28"/>
          <w:highlight w:val="none"/>
          <w14:textFill>
            <w14:solidFill>
              <w14:schemeClr w14:val="tx1"/>
            </w14:solidFill>
          </w14:textFill>
        </w:rPr>
        <w:t>广东粤海控股集团有限公司工程建设承包商安全生产不良行为扣分条款</w:t>
      </w:r>
    </w:p>
    <w:tbl>
      <w:tblPr>
        <w:tblStyle w:val="37"/>
        <w:tblW w:w="144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45"/>
        <w:gridCol w:w="3563"/>
        <w:gridCol w:w="851"/>
        <w:gridCol w:w="1134"/>
        <w:gridCol w:w="708"/>
        <w:gridCol w:w="71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序号</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不良行为现象</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不良行为代码</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责任承包商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扣分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上限</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扣分细则</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承包商主要管理人员现场管理缺位。</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施工单位项目经理、监理单位项目总监理师驻施工现场时间少于合同约定时间，安全管理缺位扣1分。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2</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未建立安全生产责任制；监理单位、施工单位管理人员未持证上岗，或证书与岗位不对应；特种作业人员未持证上岗；作业人员进场前未经现场安全教育培训合格即上岗作业。</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1、施工、监理项目部未建立安全生产责任制，扣1分。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2、现场总监理师未持有国家或行业相应资格证书每人每次扣1分；资格证书失效，每人每次扣0.5分。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3、需持证上岗的现场监理工程师、监理员未持有国家或行业相应资格证书或证书失效，每人每次扣0.2分。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4、施工单位项目经理未持有相应的注册建造师资格证书每人每次扣1分；资格证书失效，每人每次扣0.5分。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5、施工单位安全员未持有相应资格证书或证书失效，或与岗位不对应，每人每次扣0.2分。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6、施工单位特殊工种人员未持有执业资格证书或证书失效，或与岗位不对应，每人每次扣0.2分。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7、作业现场未进行安全技术交底，每人每次扣0.2分。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8、监理日志/监理日记不健全或未及时发现现场重大安全隐患并提出整改要求的，每次扣0.1分。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3</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施工机具（含特种设备）管理不规范或使用违反操作规程。</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、特种设备出现以下任一不良行为的，扣</w:t>
            </w: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①进场未报审、未定期进行检查、维护保养和检验（检测）；</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②安装和拆卸单位不具备资质；安装、拆卸方案未经审查；</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③未办理使用登记证。</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2</w:t>
            </w:r>
            <w:r>
              <w:rPr>
                <w:rFonts w:hint="eastAsia"/>
                <w:bCs/>
                <w:color w:val="000000" w:themeColor="text1"/>
                <w:sz w:val="20"/>
                <w:szCs w:val="20"/>
                <w:highlight w:val="none"/>
                <w14:textFill>
                  <w14:solidFill>
                    <w14:schemeClr w14:val="tx1"/>
                  </w14:solidFill>
                </w14:textFill>
              </w:rPr>
              <w:t>、施工升降机、起重机械、手拉葫芦、手扳葫芦、钢丝绳套、卡线器、紧线器等受力机具、工器具未按要求进行检验、校验的，每项扣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3</w:t>
            </w:r>
            <w:r>
              <w:rPr>
                <w:rFonts w:hint="eastAsia"/>
                <w:bCs/>
                <w:color w:val="000000" w:themeColor="text1"/>
                <w:sz w:val="20"/>
                <w:szCs w:val="20"/>
                <w:highlight w:val="none"/>
                <w14:textFill>
                  <w14:solidFill>
                    <w14:schemeClr w14:val="tx1"/>
                  </w14:solidFill>
                </w14:textFill>
              </w:rPr>
              <w:t>、砂轮片、切割机、锯木机刀片等有裂纹、破损仍在使用；机械转动部分保护罩破损或缺失，每项扣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4</w:t>
            </w:r>
            <w:r>
              <w:rPr>
                <w:rFonts w:hint="eastAsia"/>
                <w:bCs/>
                <w:color w:val="000000" w:themeColor="text1"/>
                <w:sz w:val="20"/>
                <w:szCs w:val="20"/>
                <w:highlight w:val="none"/>
                <w14:textFill>
                  <w14:solidFill>
                    <w14:schemeClr w14:val="tx1"/>
                  </w14:solidFill>
                </w14:textFill>
              </w:rPr>
              <w:t>、邻近带电设备施工时，现场处于使用状态的施工机械（具）和设备无人看护，对运行设备构成安全隐患，扣</w:t>
            </w: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分。</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5</w:t>
            </w:r>
            <w:r>
              <w:rPr>
                <w:rFonts w:hint="eastAsia"/>
                <w:bCs/>
                <w:color w:val="000000" w:themeColor="text1"/>
                <w:sz w:val="20"/>
                <w:szCs w:val="20"/>
                <w:highlight w:val="none"/>
                <w14:textFill>
                  <w14:solidFill>
                    <w14:schemeClr w14:val="tx1"/>
                  </w14:solidFill>
                </w14:textFill>
              </w:rPr>
              <w:t>、操作施工机具时违反操作规程，每次扣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4</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作业人员个人防护用品配备或使用不符合要求。</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G4</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0.1</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①用人单位未按规定给作业人员配备合格的安全帽、安全带、劳保鞋等防护用品；</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②个人防护用品未进行定期检验。</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2</w:t>
            </w:r>
            <w:r>
              <w:rPr>
                <w:rFonts w:hint="eastAsia"/>
                <w:bCs/>
                <w:color w:val="000000" w:themeColor="text1"/>
                <w:sz w:val="20"/>
                <w:szCs w:val="20"/>
                <w:highlight w:val="none"/>
                <w14:textFill>
                  <w14:solidFill>
                    <w14:schemeClr w14:val="tx1"/>
                  </w14:solidFill>
                </w14:textFill>
              </w:rPr>
              <w:t>、施工人员未佩戴劳动防护用品或与作业任务不符，每处扣</w:t>
            </w:r>
            <w:r>
              <w:rPr>
                <w:bCs/>
                <w:color w:val="000000" w:themeColor="text1"/>
                <w:sz w:val="20"/>
                <w:szCs w:val="20"/>
                <w:highlight w:val="none"/>
                <w14:textFill>
                  <w14:solidFill>
                    <w14:schemeClr w14:val="tx1"/>
                  </w14:solidFill>
                </w14:textFill>
              </w:rPr>
              <w:t>0.1</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bCs/>
                <w:color w:val="000000" w:themeColor="text1"/>
                <w:sz w:val="20"/>
                <w:szCs w:val="20"/>
                <w:highlight w:val="none"/>
                <w14:textFill>
                  <w14:solidFill>
                    <w14:schemeClr w14:val="tx1"/>
                  </w14:solidFill>
                </w14:textFill>
              </w:rPr>
              <w:t>3</w:t>
            </w:r>
            <w:r>
              <w:rPr>
                <w:rFonts w:hint="eastAsia"/>
                <w:bCs/>
                <w:color w:val="000000" w:themeColor="text1"/>
                <w:sz w:val="20"/>
                <w:szCs w:val="20"/>
                <w:highlight w:val="none"/>
                <w14:textFill>
                  <w14:solidFill>
                    <w14:schemeClr w14:val="tx1"/>
                  </w14:solidFill>
                </w14:textFill>
              </w:rPr>
              <w:t>、施工人员使用个人防护用品不规范，每处扣</w:t>
            </w:r>
            <w:r>
              <w:rPr>
                <w:bCs/>
                <w:color w:val="000000" w:themeColor="text1"/>
                <w:sz w:val="20"/>
                <w:szCs w:val="20"/>
                <w:highlight w:val="none"/>
                <w14:textFill>
                  <w14:solidFill>
                    <w14:schemeClr w14:val="tx1"/>
                  </w14:solidFill>
                </w14:textFill>
              </w:rPr>
              <w:t>0.1</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5</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起重吊装区域未设警戒标志、无专人指挥；吊件或起重臂下方有人通过或逗留。</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①起重吊装区域未设警戒线（围栏或隔离带）和悬挂警示标志；</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②起重吊装作业相关岗位职责不清，分工不明；</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③起重吊装作业未设专人指挥；</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④吊件或起重臂下方有人逗留或通过。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6</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脚手架搭设和拆除、使用、管理不规范。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G6</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①脚手架搭设和拆除无施工方案，未按规定进行审核、审批；</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②脚手架未经监理单位、使用单位验收合格，未挂牌即投入使用；</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③脚手架长时间停止使用或在强风（</w:t>
            </w:r>
            <w:r>
              <w:rPr>
                <w:bCs/>
                <w:color w:val="000000" w:themeColor="text1"/>
                <w:sz w:val="20"/>
                <w:szCs w:val="20"/>
                <w:highlight w:val="none"/>
                <w14:textFill>
                  <w14:solidFill>
                    <w14:schemeClr w14:val="tx1"/>
                  </w14:solidFill>
                </w14:textFill>
              </w:rPr>
              <w:t>6</w:t>
            </w:r>
            <w:r>
              <w:rPr>
                <w:rFonts w:hint="eastAsia"/>
                <w:bCs/>
                <w:color w:val="000000" w:themeColor="text1"/>
                <w:sz w:val="20"/>
                <w:szCs w:val="20"/>
                <w:highlight w:val="none"/>
                <w14:textFill>
                  <w14:solidFill>
                    <w14:schemeClr w14:val="tx1"/>
                  </w14:solidFill>
                </w14:textFill>
              </w:rPr>
              <w:t>级以上）、暴雨过后，未经检查合格就投入使用；</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④脚手架未按规定搭设和拆除，未设置扫地杆、剪刀撑、抛撑、连墙件；</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⑤脚手架的脚手板材质、规格不符合规范要求，铺板不严密、牢靠；架体外侧无封闭密目式安全网，网间不严密；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⑥靠近带电设施的脚手架未采取封闭措施。</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7</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爆破品安全管理要求执行不到位。</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G7</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①爆炸物品安全管理人员、仓库管理人员和爆破作业人员等不具备资格；</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②将爆炸物品存放在不具备安全存放条件场所；</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③爆破作业时安全防护措施不符合规范要求。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8</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站班会安全技术交底未落实，施工方案管理不规范，危险性较大的分部分项工程安全管理不到位。</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G8</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设计/施工/监理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1</w:t>
            </w: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①①现场作业未进行安全风险分析及预控，或与实际情况不符；</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②未开站班会，或站班会安全技术交底等“三交”、“三查”工作与现场实际不符，安全控制措施未真正落实。</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page"/>
            </w:r>
            <w:r>
              <w:rPr>
                <w:bCs/>
                <w:color w:val="000000" w:themeColor="text1"/>
                <w:sz w:val="20"/>
                <w:szCs w:val="20"/>
                <w:highlight w:val="none"/>
                <w14:textFill>
                  <w14:solidFill>
                    <w14:schemeClr w14:val="tx1"/>
                  </w14:solidFill>
                </w14:textFill>
              </w:rPr>
              <w:t>2</w:t>
            </w:r>
            <w:r>
              <w:rPr>
                <w:rFonts w:hint="eastAsia"/>
                <w:bCs/>
                <w:color w:val="000000" w:themeColor="text1"/>
                <w:sz w:val="20"/>
                <w:szCs w:val="20"/>
                <w:highlight w:val="none"/>
                <w14:textFill>
                  <w14:solidFill>
                    <w14:schemeClr w14:val="tx1"/>
                  </w14:solidFill>
                </w14:textFill>
              </w:rPr>
              <w:t>、未落实施工方案“四个必须”，每项扣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page"/>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①施工作业前未编制施工方案或方案未通过审批；</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②施工作业前未进行安全技术交底；</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③施工过程未按施工方案施工；</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br w:type="page"/>
            </w:r>
            <w:r>
              <w:rPr>
                <w:rFonts w:hint="eastAsia"/>
                <w:bCs/>
                <w:color w:val="000000" w:themeColor="text1"/>
                <w:sz w:val="20"/>
                <w:szCs w:val="20"/>
                <w:highlight w:val="none"/>
                <w14:textFill>
                  <w14:solidFill>
                    <w14:schemeClr w14:val="tx1"/>
                  </w14:solidFill>
                </w14:textFill>
              </w:rPr>
              <w:t>④施工方案完成后未经验收合格即进入下道程序。</w:t>
            </w:r>
            <w:r>
              <w:rPr>
                <w:bCs/>
                <w:color w:val="000000" w:themeColor="text1"/>
                <w:sz w:val="20"/>
                <w:szCs w:val="20"/>
                <w:highlight w:val="none"/>
                <w14:textFill>
                  <w14:solidFill>
                    <w14:schemeClr w14:val="tx1"/>
                  </w14:solidFill>
                </w14:textFill>
              </w:rPr>
              <w:br w:type="page"/>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3</w:t>
            </w:r>
            <w:r>
              <w:rPr>
                <w:rFonts w:hint="eastAsia"/>
                <w:bCs/>
                <w:color w:val="000000" w:themeColor="text1"/>
                <w:sz w:val="20"/>
                <w:szCs w:val="20"/>
                <w:highlight w:val="none"/>
                <w14:textFill>
                  <w14:solidFill>
                    <w14:schemeClr w14:val="tx1"/>
                  </w14:solidFill>
                </w14:textFill>
              </w:rPr>
              <w:t>、危险性较大的分部分项工程未编制安全专项方案，安全专项方案未经技术负责人审批，超过一定规模的危险性较大的分部分项工程未召开专家论证会，每项扣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p>
          <w:p>
            <w:pP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4</w:t>
            </w:r>
            <w:r>
              <w:rPr>
                <w:rFonts w:hint="eastAsia"/>
                <w:bCs/>
                <w:color w:val="000000" w:themeColor="text1"/>
                <w:sz w:val="20"/>
                <w:szCs w:val="20"/>
                <w:highlight w:val="none"/>
                <w14:textFill>
                  <w14:solidFill>
                    <w14:schemeClr w14:val="tx1"/>
                  </w14:solidFill>
                </w14:textFill>
              </w:rPr>
              <w:t>、危险性较大的分部分项工程施工过程中，监理无人员旁站监督，发现问题未制止或责令整改，每次扣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9</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施工临时用电不规范。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WG9</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w:t>
            </w:r>
            <w:r>
              <w:rPr>
                <w:bCs/>
                <w:color w:val="000000" w:themeColor="text1"/>
                <w:sz w:val="20"/>
                <w:szCs w:val="20"/>
                <w:highlight w:val="none"/>
                <w14:textFill>
                  <w14:solidFill>
                    <w14:schemeClr w14:val="tx1"/>
                  </w14:solidFill>
                </w14:textFill>
              </w:rPr>
              <w:t>/</w:t>
            </w:r>
            <w:r>
              <w:rPr>
                <w:rFonts w:hint="eastAsia"/>
                <w:bCs/>
                <w:color w:val="000000" w:themeColor="text1"/>
                <w:sz w:val="20"/>
                <w:szCs w:val="20"/>
                <w:highlight w:val="none"/>
                <w14:textFill>
                  <w14:solidFill>
                    <w14:schemeClr w14:val="tx1"/>
                  </w14:solidFill>
                </w14:textFill>
              </w:rPr>
              <w:t>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①施工现场专用的电源中性点直接接地的低压配电系统未采用</w:t>
            </w:r>
            <w:r>
              <w:rPr>
                <w:bCs/>
                <w:color w:val="000000" w:themeColor="text1"/>
                <w:sz w:val="20"/>
                <w:szCs w:val="20"/>
                <w:highlight w:val="none"/>
                <w14:textFill>
                  <w14:solidFill>
                    <w14:schemeClr w14:val="tx1"/>
                  </w14:solidFill>
                </w14:textFill>
              </w:rPr>
              <w:t>TN-S</w:t>
            </w:r>
            <w:r>
              <w:rPr>
                <w:rFonts w:hint="eastAsia"/>
                <w:bCs/>
                <w:color w:val="000000" w:themeColor="text1"/>
                <w:sz w:val="20"/>
                <w:szCs w:val="20"/>
                <w:highlight w:val="none"/>
                <w14:textFill>
                  <w14:solidFill>
                    <w14:schemeClr w14:val="tx1"/>
                  </w14:solidFill>
                </w14:textFill>
              </w:rPr>
              <w:t>接零保护系统；</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②电源箱设置不符合“一机、一闸、一保护”要求；</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③漏电保护器的选用与供电方式、作业环境不一致、不匹配；</w:t>
            </w:r>
            <w:r>
              <w:rPr>
                <w:bCs/>
                <w:color w:val="000000" w:themeColor="text1"/>
                <w:sz w:val="20"/>
                <w:szCs w:val="20"/>
                <w:highlight w:val="none"/>
                <w14:textFill>
                  <w14:solidFill>
                    <w14:schemeClr w14:val="tx1"/>
                  </w14:solidFill>
                </w14:textFill>
              </w:rPr>
              <w:t xml:space="preserve"> </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④未使用插头而直接用导线插入插座，或挂在刀闸上供电；</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⑤电源箱和用电机具未接地或接地不规范；</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⑥电源线的截面、绝缘、架设（敷设）、接线、刀闸安装等不满足规范要求。</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10</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动火作业不规范。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WG10</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w:t>
            </w:r>
            <w:r>
              <w:rPr>
                <w:bCs/>
                <w:color w:val="000000" w:themeColor="text1"/>
                <w:sz w:val="20"/>
                <w:szCs w:val="20"/>
                <w:highlight w:val="none"/>
                <w14:textFill>
                  <w14:solidFill>
                    <w14:schemeClr w14:val="tx1"/>
                  </w14:solidFill>
                </w14:textFill>
              </w:rPr>
              <w:t>/</w:t>
            </w:r>
            <w:r>
              <w:rPr>
                <w:rFonts w:hint="eastAsia"/>
                <w:bCs/>
                <w:color w:val="000000" w:themeColor="text1"/>
                <w:sz w:val="20"/>
                <w:szCs w:val="20"/>
                <w:highlight w:val="none"/>
                <w14:textFill>
                  <w14:solidFill>
                    <w14:schemeClr w14:val="tx1"/>
                  </w14:solidFill>
                </w14:textFill>
              </w:rPr>
              <w:t>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①动火作业人员未持证上岗，未经培训；</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②未按规定办理动火审批手续，重大活动期间未执行动火作业审批上提一级管理；</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③未严格落实动火作业“三个一律”，动火前未清理可燃物、未按规定进行可燃气体检测，现场存在交叉作业；</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④动火作业时监护人未在现场监督；</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⑤动火作业现场防火措施不到位，未有效设置灭火器、接火斗、阻燃挡板等；</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⑥氧气、乙炔瓶间距不足</w:t>
            </w:r>
            <w:r>
              <w:rPr>
                <w:bCs/>
                <w:color w:val="000000" w:themeColor="text1"/>
                <w:sz w:val="20"/>
                <w:szCs w:val="20"/>
                <w:highlight w:val="none"/>
                <w14:textFill>
                  <w14:solidFill>
                    <w14:schemeClr w14:val="tx1"/>
                  </w14:solidFill>
                </w14:textFill>
              </w:rPr>
              <w:t>5</w:t>
            </w:r>
            <w:r>
              <w:rPr>
                <w:rFonts w:hint="eastAsia"/>
                <w:bCs/>
                <w:color w:val="000000" w:themeColor="text1"/>
                <w:sz w:val="20"/>
                <w:szCs w:val="20"/>
                <w:highlight w:val="none"/>
                <w14:textFill>
                  <w14:solidFill>
                    <w14:schemeClr w14:val="tx1"/>
                  </w14:solidFill>
                </w14:textFill>
              </w:rPr>
              <w:t>米，距离动火作业点不足</w:t>
            </w:r>
            <w:r>
              <w:rPr>
                <w:bCs/>
                <w:color w:val="000000" w:themeColor="text1"/>
                <w:sz w:val="20"/>
                <w:szCs w:val="20"/>
                <w:highlight w:val="none"/>
                <w14:textFill>
                  <w14:solidFill>
                    <w14:schemeClr w14:val="tx1"/>
                  </w14:solidFill>
                </w14:textFill>
              </w:rPr>
              <w:t>10</w:t>
            </w:r>
            <w:r>
              <w:rPr>
                <w:rFonts w:hint="eastAsia"/>
                <w:bCs/>
                <w:color w:val="000000" w:themeColor="text1"/>
                <w:sz w:val="20"/>
                <w:szCs w:val="20"/>
                <w:highlight w:val="none"/>
                <w14:textFill>
                  <w14:solidFill>
                    <w14:schemeClr w14:val="tx1"/>
                  </w14:solidFill>
                </w14:textFill>
              </w:rPr>
              <w:t>米。</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11</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有限空间作业不规范。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WG11</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w:t>
            </w:r>
            <w:r>
              <w:rPr>
                <w:bCs/>
                <w:color w:val="000000" w:themeColor="text1"/>
                <w:sz w:val="20"/>
                <w:szCs w:val="20"/>
                <w:highlight w:val="none"/>
                <w14:textFill>
                  <w14:solidFill>
                    <w14:schemeClr w14:val="tx1"/>
                  </w14:solidFill>
                </w14:textFill>
              </w:rPr>
              <w:t>/</w:t>
            </w:r>
            <w:r>
              <w:rPr>
                <w:rFonts w:hint="eastAsia"/>
                <w:bCs/>
                <w:color w:val="000000" w:themeColor="text1"/>
                <w:sz w:val="20"/>
                <w:szCs w:val="20"/>
                <w:highlight w:val="none"/>
                <w14:textFill>
                  <w14:solidFill>
                    <w14:schemeClr w14:val="tx1"/>
                  </w14:solidFill>
                </w14:textFill>
              </w:rPr>
              <w:t>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①未经风险辨识；</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②未进行通风和气体检测；</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③不佩戴劳动防护用品；</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④作业现场无人监护；</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⑤电气设备不符合规定；</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⑥未按规定办理有限空间作业手续；</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⑦未经培训演练。</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12</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四口”、“五临边”未设置明显标识及防护措施；在车行道、人行道上施工，未根据属地区域规定选用围蔽装置，或未在来车方向设置警示牌；施工作业人员在夜间或道路、地下洞室作业时未穿着符合规范的反光衣；施工区域未按规定设置夜间警示装置。</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2</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0.2</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①“四口”、“五临边”未设置可靠防护安全围栏、盖板，未设置明显的标示牌、警示牌；</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w:t>
            </w:r>
            <w:r>
              <w:rPr>
                <w:bCs/>
                <w:color w:val="000000" w:themeColor="text1"/>
                <w:sz w:val="20"/>
                <w:szCs w:val="20"/>
                <w:highlight w:val="none"/>
                <w14:textFill>
                  <w14:solidFill>
                    <w14:schemeClr w14:val="tx1"/>
                  </w14:solidFill>
                </w14:textFill>
              </w:rPr>
              <w:t xml:space="preserve"> </w:t>
            </w:r>
            <w:r>
              <w:rPr>
                <w:rFonts w:hint="eastAsia"/>
                <w:bCs/>
                <w:color w:val="000000" w:themeColor="text1"/>
                <w:sz w:val="20"/>
                <w:szCs w:val="20"/>
                <w:highlight w:val="none"/>
                <w14:textFill>
                  <w14:solidFill>
                    <w14:schemeClr w14:val="tx1"/>
                  </w14:solidFill>
                </w14:textFill>
              </w:rPr>
              <w:t>在车行道、人行道上施工，未根据属地区域规定选用围蔽装置，或未在来车方向设置警示牌；</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③施工作业人员在夜间作业或道路、地下洞室作业时未穿着符合规范的反光衣；</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④施工区域未按规定设置夜间警示装置。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13</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隧洞通风、排水、爆破、通讯、施工支护、超前地质预报等不符合要求的。</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3</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出现以下任一不良行为扣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①未编制隧洞工程专项施工方案；专项施工方案未按规定审核、审批；未按规定组织专家论证；</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②未配备通风设施；未配备有毒有害气体检测设备；</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③未设置排水沟、泄水孔等排水措施，隧洞内抽水泵功率不满足排水需求；</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④洞内爆破作业未确定指挥人员、警戒人员、起爆人员，未进行统一指挥的；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⑤未配备通讯设备的；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⑥洞内爆破后通风排烟不足</w:t>
            </w:r>
            <w:r>
              <w:rPr>
                <w:bCs/>
                <w:color w:val="000000" w:themeColor="text1"/>
                <w:sz w:val="20"/>
                <w:szCs w:val="20"/>
                <w:highlight w:val="none"/>
                <w14:textFill>
                  <w14:solidFill>
                    <w14:schemeClr w14:val="tx1"/>
                  </w14:solidFill>
                </w14:textFill>
              </w:rPr>
              <w:t>15</w:t>
            </w:r>
            <w:r>
              <w:rPr>
                <w:rFonts w:hint="eastAsia"/>
                <w:bCs/>
                <w:color w:val="000000" w:themeColor="text1"/>
                <w:sz w:val="20"/>
                <w:szCs w:val="20"/>
                <w:highlight w:val="none"/>
                <w14:textFill>
                  <w14:solidFill>
                    <w14:schemeClr w14:val="tx1"/>
                  </w14:solidFill>
                </w14:textFill>
              </w:rPr>
              <w:t>分钟，爆破后未进行检查的；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⑦隧洞支护作业程序不符合要求；支护方式不符合设计及规范要求；</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⑧未按要求编制超前地质预报实施大纲；</w:t>
            </w:r>
          </w:p>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⑨未严格执行开挖前超前地质预报措施；未将超前地质预报纳入施工组织设计和工序管理。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14</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安全文明施工费用的提取和使用管理不规范。</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4</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施工</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0.5</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在使用安全生产费用过程中，出现以下任一不良行为，每处扣</w:t>
            </w:r>
            <w:r>
              <w:rPr>
                <w:bCs/>
                <w:color w:val="000000" w:themeColor="text1"/>
                <w:sz w:val="20"/>
                <w:szCs w:val="20"/>
                <w:highlight w:val="none"/>
                <w14:textFill>
                  <w14:solidFill>
                    <w14:schemeClr w14:val="tx1"/>
                  </w14:solidFill>
                </w14:textFill>
              </w:rPr>
              <w:t>0.2</w:t>
            </w:r>
            <w:r>
              <w:rPr>
                <w:rFonts w:hint="eastAsia"/>
                <w:bCs/>
                <w:color w:val="000000" w:themeColor="text1"/>
                <w:sz w:val="20"/>
                <w:szCs w:val="20"/>
                <w:highlight w:val="none"/>
                <w14:textFill>
                  <w14:solidFill>
                    <w14:schemeClr w14:val="tx1"/>
                  </w14:solidFill>
                </w14:textFill>
              </w:rPr>
              <w:t>分，累计扣至</w:t>
            </w:r>
            <w:r>
              <w:rPr>
                <w:bCs/>
                <w:color w:val="000000" w:themeColor="text1"/>
                <w:sz w:val="20"/>
                <w:szCs w:val="20"/>
                <w:highlight w:val="none"/>
                <w14:textFill>
                  <w14:solidFill>
                    <w14:schemeClr w14:val="tx1"/>
                  </w14:solidFill>
                </w14:textFill>
              </w:rPr>
              <w:t>0.5</w:t>
            </w:r>
            <w:r>
              <w:rPr>
                <w:rFonts w:hint="eastAsia"/>
                <w:bCs/>
                <w:color w:val="000000" w:themeColor="text1"/>
                <w:sz w:val="20"/>
                <w:szCs w:val="20"/>
                <w:highlight w:val="none"/>
                <w14:textFill>
                  <w14:solidFill>
                    <w14:schemeClr w14:val="tx1"/>
                  </w14:solidFill>
                </w14:textFill>
              </w:rPr>
              <w:t>分为止：</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①未按照国家有关规定计列和使用安全生产费用的；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②未编制安全生产费用使用计划，专款专用的；</w:t>
            </w:r>
            <w:r>
              <w:rPr>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③未明确安全费用提取和使用的程序、职责及权限的。</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15</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因设计工作不到位造成险情的。</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5</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勘察/设计</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1、因设计方案不合理造成工程施工过程出现险情的，扣1分；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2、因现场设计代表履职不到位造成施工现场出现险情的，扣1分；</w:t>
            </w:r>
            <w:r>
              <w:rPr>
                <w:rFonts w:hint="eastAsia"/>
                <w:bCs/>
                <w:color w:val="000000" w:themeColor="text1"/>
                <w:sz w:val="20"/>
                <w:szCs w:val="20"/>
                <w:highlight w:val="none"/>
                <w14:textFill>
                  <w14:solidFill>
                    <w14:schemeClr w14:val="tx1"/>
                  </w14:solidFill>
                </w14:textFill>
              </w:rPr>
              <w:br w:type="textWrapping"/>
            </w:r>
            <w:r>
              <w:rPr>
                <w:rFonts w:hint="eastAsia"/>
                <w:bCs/>
                <w:color w:val="000000" w:themeColor="text1"/>
                <w:sz w:val="20"/>
                <w:szCs w:val="20"/>
                <w:highlight w:val="none"/>
                <w14:textFill>
                  <w14:solidFill>
                    <w14:schemeClr w14:val="tx1"/>
                  </w14:solidFill>
                </w14:textFill>
              </w:rPr>
              <w:t>3、因前期地质勘察工作遗留问题造成工程现场出现险情的，扣1分。</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045"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16</w:t>
            </w:r>
          </w:p>
        </w:tc>
        <w:tc>
          <w:tcPr>
            <w:tcW w:w="3563"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项目建设阶段发生生产安全事故的。</w:t>
            </w:r>
          </w:p>
        </w:tc>
        <w:tc>
          <w:tcPr>
            <w:tcW w:w="851"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W</w:t>
            </w:r>
            <w:r>
              <w:rPr>
                <w:bCs/>
                <w:color w:val="000000" w:themeColor="text1"/>
                <w:sz w:val="20"/>
                <w:szCs w:val="20"/>
                <w:highlight w:val="none"/>
                <w14:textFill>
                  <w14:solidFill>
                    <w14:schemeClr w14:val="tx1"/>
                  </w14:solidFill>
                </w14:textFill>
              </w:rPr>
              <w:t>G1</w:t>
            </w:r>
            <w:r>
              <w:rPr>
                <w:rFonts w:hint="eastAsia"/>
                <w:bCs/>
                <w:color w:val="000000" w:themeColor="text1"/>
                <w:sz w:val="20"/>
                <w:szCs w:val="20"/>
                <w:highlight w:val="none"/>
                <w14:textFill>
                  <w14:solidFill>
                    <w14:schemeClr w14:val="tx1"/>
                  </w14:solidFill>
                </w14:textFill>
              </w:rPr>
              <w:t>6</w:t>
            </w:r>
          </w:p>
        </w:tc>
        <w:tc>
          <w:tcPr>
            <w:tcW w:w="1134" w:type="dxa"/>
            <w:tcBorders>
              <w:top w:val="single" w:color="auto" w:sz="4" w:space="0"/>
              <w:left w:val="single" w:color="auto" w:sz="4" w:space="0"/>
              <w:bottom w:val="single" w:color="auto" w:sz="4" w:space="0"/>
              <w:right w:val="single" w:color="auto" w:sz="4" w:space="0"/>
            </w:tcBorders>
            <w:shd w:val="clear" w:color="auto" w:fill="auto"/>
            <w:vAlign w:val="center"/>
          </w:tcPr>
          <w:p>
            <w:pPr>
              <w:widowControl/>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设计/施工/监理</w:t>
            </w:r>
          </w:p>
        </w:tc>
        <w:tc>
          <w:tcPr>
            <w:tcW w:w="708" w:type="dxa"/>
            <w:tcBorders>
              <w:top w:val="single" w:color="auto" w:sz="4" w:space="0"/>
              <w:left w:val="single" w:color="auto" w:sz="4" w:space="0"/>
              <w:bottom w:val="single" w:color="auto" w:sz="4" w:space="0"/>
              <w:right w:val="single" w:color="auto" w:sz="4" w:space="0"/>
            </w:tcBorders>
            <w:shd w:val="clear" w:color="auto" w:fill="auto"/>
            <w:vAlign w:val="center"/>
          </w:tcPr>
          <w:p>
            <w:pPr>
              <w:jc w:val="cente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12</w:t>
            </w:r>
          </w:p>
        </w:tc>
        <w:tc>
          <w:tcPr>
            <w:tcW w:w="7129" w:type="dxa"/>
            <w:tcBorders>
              <w:top w:val="single" w:color="auto" w:sz="4" w:space="0"/>
              <w:left w:val="single" w:color="auto" w:sz="4" w:space="0"/>
              <w:bottom w:val="single" w:color="auto" w:sz="4" w:space="0"/>
              <w:right w:val="single" w:color="auto" w:sz="4" w:space="0"/>
            </w:tcBorders>
            <w:shd w:val="clear" w:color="auto" w:fill="auto"/>
            <w:vAlign w:val="center"/>
          </w:tcPr>
          <w:p>
            <w:pPr>
              <w:rPr>
                <w:bCs/>
                <w:color w:val="000000" w:themeColor="text1"/>
                <w:sz w:val="20"/>
                <w:szCs w:val="20"/>
                <w:highlight w:val="none"/>
                <w14:textFill>
                  <w14:solidFill>
                    <w14:schemeClr w14:val="tx1"/>
                  </w14:solidFill>
                </w14:textFill>
              </w:rPr>
            </w:pPr>
            <w:r>
              <w:rPr>
                <w:rFonts w:hint="eastAsia"/>
                <w:bCs/>
                <w:color w:val="000000" w:themeColor="text1"/>
                <w:sz w:val="20"/>
                <w:szCs w:val="20"/>
                <w:highlight w:val="none"/>
                <w14:textFill>
                  <w14:solidFill>
                    <w14:schemeClr w14:val="tx1"/>
                  </w14:solidFill>
                </w14:textFill>
              </w:rPr>
              <w:t>发生亡人生产安全事故的，根据生产安全事故责任扣分。</w:t>
            </w:r>
          </w:p>
        </w:tc>
      </w:tr>
    </w:tbl>
    <w:p>
      <w:pPr>
        <w:spacing w:line="520" w:lineRule="exact"/>
        <w:outlineLvl w:val="0"/>
        <w:rPr>
          <w:color w:val="000000" w:themeColor="text1"/>
          <w:szCs w:val="21"/>
          <w:highlight w:val="none"/>
          <w14:textFill>
            <w14:solidFill>
              <w14:schemeClr w14:val="tx1"/>
            </w14:solidFill>
          </w14:textFill>
        </w:rPr>
      </w:pPr>
    </w:p>
    <w:p>
      <w:pPr>
        <w:spacing w:line="360" w:lineRule="auto"/>
        <w:ind w:right="960" w:firstLine="480" w:firstLineChars="200"/>
        <w:rPr>
          <w:rFonts w:ascii="宋体" w:hAnsi="宋体" w:cs="宋体"/>
          <w:color w:val="000000" w:themeColor="text1"/>
          <w:kern w:val="0"/>
          <w:sz w:val="24"/>
          <w:highlight w:val="none"/>
          <w14:textFill>
            <w14:solidFill>
              <w14:schemeClr w14:val="tx1"/>
            </w14:solidFill>
          </w14:textFill>
        </w:rPr>
      </w:pPr>
    </w:p>
    <w:sectPr>
      <w:pgSz w:w="16838" w:h="11906" w:orient="landscape"/>
      <w:pgMar w:top="1531" w:right="1418" w:bottom="1554" w:left="1418"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0000000000000000000"/>
    <w:charset w:val="86"/>
    <w:family w:val="modern"/>
    <w:pitch w:val="default"/>
    <w:sig w:usb0="00000000" w:usb1="00000000" w:usb2="00000010" w:usb3="00000000" w:csb0="00040000" w:csb1="00000000"/>
  </w:font>
  <w:font w:name="TimesNewRomanPSMT">
    <w:altName w:val="等线"/>
    <w:panose1 w:val="00000000000000000000"/>
    <w:charset w:val="86"/>
    <w:family w:val="auto"/>
    <w:pitch w:val="default"/>
    <w:sig w:usb0="00000000" w:usb1="00000000" w:usb2="00000010" w:usb3="00000000" w:csb0="00040000" w:csb1="00000000"/>
  </w:font>
  <w:font w:name="仿宋_GB2312">
    <w:altName w:val="仿宋"/>
    <w:panose1 w:val="00000000000000000000"/>
    <w:charset w:val="86"/>
    <w:family w:val="modern"/>
    <w:pitch w:val="default"/>
    <w:sig w:usb0="00000000" w:usb1="00000000" w:usb2="00000010" w:usb3="00000000" w:csb0="00040000" w:csb1="00000000"/>
  </w:font>
  <w:font w:name="Arial">
    <w:panose1 w:val="020B0604020202020204"/>
    <w:charset w:val="00"/>
    <w:family w:val="swiss"/>
    <w:pitch w:val="default"/>
    <w:sig w:usb0="E0002EFF" w:usb1="C000785B" w:usb2="00000009" w:usb3="00000000" w:csb0="400001FF" w:csb1="FFFF0000"/>
  </w:font>
  <w:font w:name="华文中宋">
    <w:panose1 w:val="02010600040101010101"/>
    <w:charset w:val="86"/>
    <w:family w:val="auto"/>
    <w:pitch w:val="default"/>
    <w:sig w:usb0="00000287" w:usb1="080F0000" w:usb2="00000000" w:usb3="00000000" w:csb0="0004009F" w:csb1="DFD70000"/>
  </w:font>
  <w:font w:name="楷体">
    <w:panose1 w:val="02010609060101010101"/>
    <w:charset w:val="86"/>
    <w:family w:val="modern"/>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Wingdings 2">
    <w:panose1 w:val="05020102010507070707"/>
    <w:charset w:val="02"/>
    <w:family w:val="roman"/>
    <w:pitch w:val="default"/>
    <w:sig w:usb0="00000000" w:usb1="00000000" w:usb2="00000000" w:usb3="00000000" w:csb0="80000000" w:csb1="00000000"/>
  </w:font>
  <w:font w:name="Arial Unicode MS">
    <w:panose1 w:val="020B0604020202020204"/>
    <w:charset w:val="86"/>
    <w:family w:val="swiss"/>
    <w:pitch w:val="default"/>
    <w:sig w:usb0="FFFFFFFF" w:usb1="E9FFFFFF" w:usb2="0000003F" w:usb3="00000000" w:csb0="603F01FF" w:csb1="FFFF0000"/>
  </w:font>
  <w:font w:name="华文楷体">
    <w:panose1 w:val="02010600040101010101"/>
    <w:charset w:val="86"/>
    <w:family w:val="auto"/>
    <w:pitch w:val="default"/>
    <w:sig w:usb0="00000287" w:usb1="080F0000" w:usb2="00000000" w:usb3="00000000" w:csb0="0004009F" w:csb1="DFD70000"/>
  </w:font>
  <w:font w:name="等线">
    <w:panose1 w:val="02010600030101010101"/>
    <w:charset w:val="86"/>
    <w:family w:val="auto"/>
    <w:pitch w:val="default"/>
    <w:sig w:usb0="A00002BF" w:usb1="38CF7CFA" w:usb2="00000016" w:usb3="00000000" w:csb0="0004000F" w:csb1="00000000"/>
  </w:font>
  <w:font w:name="新宋体-18030">
    <w:altName w:val="微软雅黑"/>
    <w:panose1 w:val="00000000000000000000"/>
    <w:charset w:val="86"/>
    <w:family w:val="modern"/>
    <w:pitch w:val="default"/>
    <w:sig w:usb0="00000000" w:usb1="00000000" w:usb2="000A005E" w:usb3="00000000" w:csb0="00040001" w:csb1="00000000"/>
  </w:font>
  <w:font w:name="???-18030">
    <w:altName w:val="Times New Roman"/>
    <w:panose1 w:val="00000000000000000000"/>
    <w:charset w:val="00"/>
    <w:family w:val="auto"/>
    <w:pitch w:val="default"/>
    <w:sig w:usb0="00000000" w:usb1="00000000" w:usb2="00000000" w:usb3="00000000" w:csb0="00000001" w:csb1="00000000"/>
  </w:font>
  <w:font w:name="ˎ̥">
    <w:altName w:val="宋体"/>
    <w:panose1 w:val="00000000000000000000"/>
    <w:charset w:val="00"/>
    <w:family w:val="roman"/>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instrText xml:space="preserve">PAGE   \* MERGEFORMAT</w:instrText>
    </w:r>
    <w:r>
      <w:fldChar w:fldCharType="separate"/>
    </w:r>
    <w:r>
      <w:rPr>
        <w:lang w:val="zh-CN"/>
      </w:rPr>
      <w:t>3</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PAGE  </w:instrText>
    </w:r>
    <w:r>
      <w:fldChar w:fldCharType="separate"/>
    </w:r>
    <w:r>
      <w:rPr>
        <w:rStyle w:val="41"/>
      </w:rPr>
      <w:t>1</w:t>
    </w:r>
    <w:r>
      <w:fldChar w:fldCharType="end"/>
    </w:r>
    <w:r>
      <w:rPr>
        <w:rStyle w:val="41"/>
      </w:rPr>
      <w:t xml:space="preserve"> </w:t>
    </w:r>
    <w:r>
      <w:rPr>
        <w:rStyle w:val="41"/>
        <w:rFonts w:hint="eastAsia"/>
      </w:rPr>
      <w:t>/</w:t>
    </w:r>
    <w:r>
      <w:rPr>
        <w:rStyle w:val="41"/>
      </w:rPr>
      <w:t xml:space="preserve"> </w:t>
    </w:r>
    <w:r>
      <w:fldChar w:fldCharType="begin"/>
    </w:r>
    <w:r>
      <w:rPr>
        <w:rStyle w:val="41"/>
      </w:rPr>
      <w:instrText xml:space="preserve"> NUMPAGES </w:instrText>
    </w:r>
    <w:r>
      <w:fldChar w:fldCharType="separate"/>
    </w:r>
    <w:r>
      <w:rPr>
        <w:rStyle w:val="41"/>
      </w:rPr>
      <w:t>208</w:t>
    </w:r>
    <w: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PAGE  </w:instrText>
    </w:r>
    <w:r>
      <w:fldChar w:fldCharType="separate"/>
    </w:r>
    <w:r>
      <w:rPr>
        <w:rStyle w:val="41"/>
      </w:rPr>
      <w:t>2</w:t>
    </w:r>
    <w:r>
      <w:fldChar w:fldCharType="end"/>
    </w:r>
    <w:r>
      <w:rPr>
        <w:rStyle w:val="41"/>
      </w:rPr>
      <w:t xml:space="preserve"> </w:t>
    </w:r>
    <w:r>
      <w:rPr>
        <w:rStyle w:val="41"/>
        <w:rFonts w:hint="eastAsia"/>
      </w:rPr>
      <w:t>/</w:t>
    </w:r>
    <w:r>
      <w:rPr>
        <w:rStyle w:val="41"/>
      </w:rPr>
      <w:t xml:space="preserve"> </w:t>
    </w:r>
    <w:r>
      <w:fldChar w:fldCharType="begin"/>
    </w:r>
    <w:r>
      <w:rPr>
        <w:rStyle w:val="41"/>
      </w:rPr>
      <w:instrText xml:space="preserve"> NUMPAGES </w:instrText>
    </w:r>
    <w:r>
      <w:fldChar w:fldCharType="separate"/>
    </w:r>
    <w:r>
      <w:rPr>
        <w:rStyle w:val="41"/>
      </w:rPr>
      <w:t>208</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rPr>
        <w:lang w:val="zh-CN"/>
      </w:rPr>
      <w:t xml:space="preserve"> </w:t>
    </w:r>
    <w:r>
      <w:rPr>
        <w:b/>
        <w:bCs/>
      </w:rPr>
      <w:fldChar w:fldCharType="begin"/>
    </w:r>
    <w:r>
      <w:rPr>
        <w:b/>
        <w:bCs/>
      </w:rPr>
      <w:instrText xml:space="preserve">PAGE  \* Arabic  \* MERGEFORMAT</w:instrText>
    </w:r>
    <w:r>
      <w:rPr>
        <w:b/>
        <w:bCs/>
      </w:rPr>
      <w:fldChar w:fldCharType="separate"/>
    </w:r>
    <w:r>
      <w:rPr>
        <w:b/>
        <w:bCs/>
        <w:lang w:val="zh-CN"/>
      </w:rPr>
      <w:t>142</w:t>
    </w:r>
    <w:r>
      <w:rPr>
        <w:b/>
        <w:bCs/>
      </w:rPr>
      <w:fldChar w:fldCharType="end"/>
    </w:r>
    <w:r>
      <w:rPr>
        <w:lang w:val="zh-CN"/>
      </w:rPr>
      <w:t xml:space="preserve"> / </w:t>
    </w:r>
    <w:r>
      <w:rPr>
        <w:b/>
        <w:bCs/>
      </w:rPr>
      <w:fldChar w:fldCharType="begin"/>
    </w:r>
    <w:r>
      <w:rPr>
        <w:b/>
        <w:bCs/>
      </w:rPr>
      <w:instrText xml:space="preserve">NUMPAGES  \* Arabic  \* MERGEFORMAT</w:instrText>
    </w:r>
    <w:r>
      <w:rPr>
        <w:b/>
        <w:bCs/>
      </w:rPr>
      <w:fldChar w:fldCharType="separate"/>
    </w:r>
    <w:r>
      <w:rPr>
        <w:b/>
        <w:bCs/>
        <w:lang w:val="zh-CN"/>
      </w:rPr>
      <w:t>206</w:t>
    </w:r>
    <w:r>
      <w:rPr>
        <w:b/>
        <w:bCs/>
      </w:rPr>
      <w:fldChar w:fldCharType="end"/>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PAGE  </w:instrText>
    </w:r>
    <w:r>
      <w:fldChar w:fldCharType="separate"/>
    </w:r>
    <w:r>
      <w:rPr>
        <w:rStyle w:val="41"/>
      </w:rPr>
      <w:t>98</w:t>
    </w:r>
    <w:r>
      <w:fldChar w:fldCharType="end"/>
    </w:r>
    <w:r>
      <w:rPr>
        <w:rStyle w:val="41"/>
      </w:rPr>
      <w:t xml:space="preserve"> </w:t>
    </w:r>
    <w:r>
      <w:rPr>
        <w:rStyle w:val="41"/>
        <w:rFonts w:hint="eastAsia"/>
      </w:rPr>
      <w:t>/</w:t>
    </w:r>
    <w:r>
      <w:rPr>
        <w:rStyle w:val="41"/>
      </w:rPr>
      <w:t xml:space="preserve"> </w:t>
    </w:r>
    <w:r>
      <w:fldChar w:fldCharType="begin"/>
    </w:r>
    <w:r>
      <w:rPr>
        <w:rStyle w:val="41"/>
      </w:rPr>
      <w:instrText xml:space="preserve"> NUMPAGES </w:instrText>
    </w:r>
    <w:r>
      <w:fldChar w:fldCharType="separate"/>
    </w:r>
    <w:r>
      <w:rPr>
        <w:rStyle w:val="41"/>
      </w:rPr>
      <w:t>206</w:t>
    </w:r>
    <w:r>
      <w:fldChar w:fldCharType="end"/>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 PAGE </w:instrText>
    </w:r>
    <w:r>
      <w:fldChar w:fldCharType="separate"/>
    </w:r>
    <w:r>
      <w:rPr>
        <w:rStyle w:val="41"/>
      </w:rPr>
      <w:t>201</w:t>
    </w:r>
    <w:r>
      <w:fldChar w:fldCharType="end"/>
    </w:r>
    <w:r>
      <w:rPr>
        <w:rStyle w:val="41"/>
        <w:rFonts w:hint="eastAsia"/>
      </w:rPr>
      <w:t>/</w:t>
    </w:r>
    <w:r>
      <w:fldChar w:fldCharType="begin"/>
    </w:r>
    <w:r>
      <w:rPr>
        <w:rStyle w:val="41"/>
      </w:rPr>
      <w:instrText xml:space="preserve"> NUMPAGES </w:instrText>
    </w:r>
    <w:r>
      <w:fldChar w:fldCharType="separate"/>
    </w:r>
    <w:r>
      <w:rPr>
        <w:rStyle w:val="41"/>
      </w:rPr>
      <w:t>208</w:t>
    </w:r>
    <w:r>
      <w:fldChar w:fldCharType="end"/>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98734370"/>
    </w:sdtPr>
    <w:sdtContent>
      <w:sdt>
        <w:sdtPr>
          <w:id w:val="-1669238322"/>
        </w:sdtPr>
        <w:sdtContent>
          <w:p>
            <w:pPr>
              <w:pStyle w:val="24"/>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205</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208</w:t>
            </w:r>
            <w:r>
              <w:rPr>
                <w:b/>
                <w:bCs/>
                <w:sz w:val="24"/>
                <w:szCs w:val="24"/>
              </w:rPr>
              <w:fldChar w:fldCharType="end"/>
            </w:r>
          </w:p>
        </w:sdtContent>
      </w:sdt>
    </w:sdtContent>
  </w:sdt>
  <w:p>
    <w:pPr>
      <w:pStyle w:val="24"/>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pPr>
    <w:r>
      <w:fldChar w:fldCharType="begin"/>
    </w:r>
    <w:r>
      <w:rPr>
        <w:rStyle w:val="41"/>
      </w:rPr>
      <w:instrText xml:space="preserve">PAGE  </w:instrText>
    </w:r>
    <w:r>
      <w:fldChar w:fldCharType="separate"/>
    </w:r>
    <w:r>
      <w:rPr>
        <w:rStyle w:val="41"/>
      </w:rPr>
      <w:t>202</w:t>
    </w:r>
    <w:r>
      <w:fldChar w:fldCharType="end"/>
    </w:r>
    <w:r>
      <w:rPr>
        <w:rStyle w:val="41"/>
      </w:rPr>
      <w:t xml:space="preserve"> </w:t>
    </w:r>
    <w:r>
      <w:rPr>
        <w:rStyle w:val="41"/>
        <w:rFonts w:hint="eastAsia"/>
      </w:rPr>
      <w:t>/</w:t>
    </w:r>
    <w:r>
      <w:rPr>
        <w:rStyle w:val="41"/>
      </w:rPr>
      <w:t xml:space="preserve"> </w:t>
    </w:r>
    <w:r>
      <w:fldChar w:fldCharType="begin"/>
    </w:r>
    <w:r>
      <w:rPr>
        <w:rStyle w:val="41"/>
      </w:rPr>
      <w:instrText xml:space="preserve"> NUMPAGES </w:instrText>
    </w:r>
    <w:r>
      <w:fldChar w:fldCharType="separate"/>
    </w:r>
    <w:r>
      <w:rPr>
        <w:rStyle w:val="41"/>
      </w:rPr>
      <w:t>208</w:t>
    </w:r>
    <w:r>
      <w:fldChar w:fldCharType="end"/>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5"/>
    <w:multiLevelType w:val="multilevel"/>
    <w:tmpl w:val="00000005"/>
    <w:lvl w:ilvl="0" w:tentative="0">
      <w:start w:val="1"/>
      <w:numFmt w:val="decimal"/>
      <w:pStyle w:val="83"/>
      <w:lvlText w:val="%1)"/>
      <w:lvlJc w:val="left"/>
      <w:pPr>
        <w:ind w:left="987" w:hanging="420"/>
      </w:pPr>
      <w:rPr>
        <w:rFonts w:hint="eastAsia"/>
      </w:rPr>
    </w:lvl>
    <w:lvl w:ilvl="1" w:tentative="0">
      <w:start w:val="1"/>
      <w:numFmt w:val="lowerLetter"/>
      <w:lvlText w:val="%2)"/>
      <w:lvlJc w:val="left"/>
      <w:pPr>
        <w:ind w:left="976" w:hanging="420"/>
      </w:pPr>
      <w:rPr>
        <w:rFonts w:hint="eastAsia"/>
      </w:rPr>
    </w:lvl>
    <w:lvl w:ilvl="2" w:tentative="0">
      <w:start w:val="1"/>
      <w:numFmt w:val="lowerRoman"/>
      <w:lvlText w:val="%3."/>
      <w:lvlJc w:val="right"/>
      <w:pPr>
        <w:ind w:left="1396" w:hanging="420"/>
      </w:pPr>
      <w:rPr>
        <w:rFonts w:hint="eastAsia"/>
      </w:rPr>
    </w:lvl>
    <w:lvl w:ilvl="3" w:tentative="0">
      <w:start w:val="1"/>
      <w:numFmt w:val="decimal"/>
      <w:lvlText w:val="%4."/>
      <w:lvlJc w:val="left"/>
      <w:pPr>
        <w:ind w:left="1816" w:hanging="420"/>
      </w:pPr>
      <w:rPr>
        <w:rFonts w:hint="eastAsia"/>
      </w:rPr>
    </w:lvl>
    <w:lvl w:ilvl="4" w:tentative="0">
      <w:start w:val="1"/>
      <w:numFmt w:val="lowerLetter"/>
      <w:lvlText w:val="%5)"/>
      <w:lvlJc w:val="left"/>
      <w:pPr>
        <w:ind w:left="2236" w:hanging="420"/>
      </w:pPr>
      <w:rPr>
        <w:rFonts w:hint="eastAsia"/>
      </w:rPr>
    </w:lvl>
    <w:lvl w:ilvl="5" w:tentative="0">
      <w:start w:val="1"/>
      <w:numFmt w:val="lowerRoman"/>
      <w:lvlText w:val="%6."/>
      <w:lvlJc w:val="right"/>
      <w:pPr>
        <w:ind w:left="2656" w:hanging="420"/>
      </w:pPr>
      <w:rPr>
        <w:rFonts w:hint="eastAsia"/>
      </w:rPr>
    </w:lvl>
    <w:lvl w:ilvl="6" w:tentative="0">
      <w:start w:val="1"/>
      <w:numFmt w:val="decimal"/>
      <w:lvlText w:val="%7."/>
      <w:lvlJc w:val="left"/>
      <w:pPr>
        <w:ind w:left="3076" w:hanging="420"/>
      </w:pPr>
      <w:rPr>
        <w:rFonts w:hint="eastAsia"/>
      </w:rPr>
    </w:lvl>
    <w:lvl w:ilvl="7" w:tentative="0">
      <w:start w:val="1"/>
      <w:numFmt w:val="lowerLetter"/>
      <w:lvlText w:val="%8)"/>
      <w:lvlJc w:val="left"/>
      <w:pPr>
        <w:ind w:left="3496" w:hanging="420"/>
      </w:pPr>
      <w:rPr>
        <w:rFonts w:hint="eastAsia"/>
      </w:rPr>
    </w:lvl>
    <w:lvl w:ilvl="8" w:tentative="0">
      <w:start w:val="1"/>
      <w:numFmt w:val="lowerRoman"/>
      <w:lvlText w:val="%9."/>
      <w:lvlJc w:val="right"/>
      <w:pPr>
        <w:ind w:left="3916" w:hanging="420"/>
      </w:pPr>
      <w:rPr>
        <w:rFonts w:hint="eastAsia"/>
      </w:rPr>
    </w:lvl>
  </w:abstractNum>
  <w:abstractNum w:abstractNumId="1">
    <w:nsid w:val="0000000A"/>
    <w:multiLevelType w:val="multilevel"/>
    <w:tmpl w:val="0000000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
    <w:nsid w:val="0000000F"/>
    <w:multiLevelType w:val="multilevel"/>
    <w:tmpl w:val="0000000F"/>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
    <w:nsid w:val="00000011"/>
    <w:multiLevelType w:val="multilevel"/>
    <w:tmpl w:val="00000011"/>
    <w:lvl w:ilvl="0" w:tentative="0">
      <w:start w:val="1"/>
      <w:numFmt w:val="japaneseCounting"/>
      <w:lvlText w:val="%1、"/>
      <w:lvlJc w:val="left"/>
      <w:pPr>
        <w:ind w:left="480" w:hanging="480"/>
      </w:pPr>
      <w:rPr>
        <w:rFonts w:ascii="仿宋" w:hAnsi="仿宋" w:eastAsia="仿宋"/>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0000018"/>
    <w:multiLevelType w:val="multilevel"/>
    <w:tmpl w:val="00000018"/>
    <w:lvl w:ilvl="0" w:tentative="0">
      <w:start w:val="1"/>
      <w:numFmt w:val="decimal"/>
      <w:lvlText w:val="%1."/>
      <w:lvlJc w:val="left"/>
      <w:pPr>
        <w:ind w:left="360" w:hanging="36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4A31C83"/>
    <w:multiLevelType w:val="multilevel"/>
    <w:tmpl w:val="04A31C8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A6867EE"/>
    <w:multiLevelType w:val="multilevel"/>
    <w:tmpl w:val="0A6867EE"/>
    <w:lvl w:ilvl="0" w:tentative="0">
      <w:start w:val="1"/>
      <w:numFmt w:val="decimal"/>
      <w:lvlText w:val="(%1)"/>
      <w:lvlJc w:val="left"/>
      <w:pPr>
        <w:tabs>
          <w:tab w:val="left" w:pos="425"/>
        </w:tabs>
        <w:ind w:left="425" w:hanging="425"/>
      </w:pPr>
      <w:rPr>
        <w:rFonts w:hint="eastAsia" w:ascii="宋体" w:hAnsi="宋体" w:eastAsia="宋体"/>
      </w:rPr>
    </w:lvl>
    <w:lvl w:ilvl="1" w:tentative="0">
      <w:start w:val="4"/>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7">
    <w:nsid w:val="247F49A8"/>
    <w:multiLevelType w:val="multilevel"/>
    <w:tmpl w:val="247F49A8"/>
    <w:lvl w:ilvl="0" w:tentative="0">
      <w:start w:val="1"/>
      <w:numFmt w:val="decimal"/>
      <w:lvlText w:val="%1"/>
      <w:lvlJc w:val="left"/>
      <w:pPr>
        <w:tabs>
          <w:tab w:val="left" w:pos="425"/>
        </w:tabs>
        <w:ind w:left="425" w:hanging="425"/>
      </w:pPr>
      <w:rPr>
        <w:rFonts w:hint="eastAsia" w:ascii="Times New Roman" w:hAnsi="Times New Roman" w:eastAsia="宋体" w:cs="Times New Roman"/>
        <w:b w:val="0"/>
        <w:color w:val="auto"/>
      </w:rPr>
    </w:lvl>
    <w:lvl w:ilvl="1" w:tentative="0">
      <w:start w:val="1"/>
      <w:numFmt w:val="decimal"/>
      <w:lvlText w:val="%1.%2"/>
      <w:lvlJc w:val="left"/>
      <w:pPr>
        <w:tabs>
          <w:tab w:val="left" w:pos="1512"/>
        </w:tabs>
        <w:ind w:left="1512" w:hanging="567"/>
      </w:pPr>
      <w:rPr>
        <w:rFonts w:hint="eastAsia" w:ascii="Times New Roman" w:hAnsi="Times New Roman" w:eastAsia="宋体" w:cs="Times New Roman"/>
        <w:b w:val="0"/>
        <w:color w:val="auto"/>
      </w:rPr>
    </w:lvl>
    <w:lvl w:ilvl="2" w:tentative="0">
      <w:start w:val="1"/>
      <w:numFmt w:val="decimal"/>
      <w:lvlText w:val="(%3)"/>
      <w:lvlJc w:val="left"/>
      <w:pPr>
        <w:tabs>
          <w:tab w:val="left" w:pos="1418"/>
        </w:tabs>
        <w:ind w:left="1418" w:hanging="567"/>
      </w:pPr>
      <w:rPr>
        <w:rFonts w:hint="default" w:cs="Times New Roman"/>
        <w:color w:val="auto"/>
      </w:rPr>
    </w:lvl>
    <w:lvl w:ilvl="3" w:tentative="0">
      <w:start w:val="1"/>
      <w:numFmt w:val="decimal"/>
      <w:lvlText w:val="9.1.%1.%2.%3.%4"/>
      <w:lvlJc w:val="left"/>
      <w:pPr>
        <w:tabs>
          <w:tab w:val="left" w:pos="2356"/>
        </w:tabs>
        <w:ind w:left="1984" w:hanging="708"/>
      </w:pPr>
      <w:rPr>
        <w:rFonts w:hint="eastAsia" w:cs="Times New Roman"/>
      </w:rPr>
    </w:lvl>
    <w:lvl w:ilvl="4" w:tentative="0">
      <w:start w:val="1"/>
      <w:numFmt w:val="decimal"/>
      <w:lvlText w:val="9.1.%1.%2.%3.%4.%5"/>
      <w:lvlJc w:val="left"/>
      <w:pPr>
        <w:tabs>
          <w:tab w:val="left" w:pos="2781"/>
        </w:tabs>
        <w:ind w:left="2551" w:hanging="850"/>
      </w:pPr>
      <w:rPr>
        <w:rFonts w:hint="eastAsia" w:cs="Times New Roman"/>
      </w:rPr>
    </w:lvl>
    <w:lvl w:ilvl="5" w:tentative="0">
      <w:start w:val="1"/>
      <w:numFmt w:val="none"/>
      <w:lvlText w:val=""/>
      <w:lvlJc w:val="left"/>
      <w:pPr>
        <w:tabs>
          <w:tab w:val="left" w:pos="3566"/>
        </w:tabs>
        <w:ind w:left="3260" w:hanging="1134"/>
      </w:pPr>
      <w:rPr>
        <w:rFonts w:hint="eastAsia" w:cs="Times New Roman"/>
      </w:rPr>
    </w:lvl>
    <w:lvl w:ilvl="6" w:tentative="0">
      <w:start w:val="1"/>
      <w:numFmt w:val="decimal"/>
      <w:lvlText w:val="%1.%2.%3.%4.%5.%6.%7"/>
      <w:lvlJc w:val="left"/>
      <w:pPr>
        <w:tabs>
          <w:tab w:val="left" w:pos="3991"/>
        </w:tabs>
        <w:ind w:left="3827" w:hanging="1276"/>
      </w:pPr>
      <w:rPr>
        <w:rFonts w:hint="eastAsia" w:cs="Times New Roman"/>
      </w:rPr>
    </w:lvl>
    <w:lvl w:ilvl="7" w:tentative="0">
      <w:start w:val="1"/>
      <w:numFmt w:val="decimal"/>
      <w:lvlText w:val="%1.%2.%3.%4.%5.%6.%7.%8"/>
      <w:lvlJc w:val="left"/>
      <w:pPr>
        <w:tabs>
          <w:tab w:val="left" w:pos="4776"/>
        </w:tabs>
        <w:ind w:left="4394" w:hanging="1418"/>
      </w:pPr>
      <w:rPr>
        <w:rFonts w:hint="eastAsia" w:cs="Times New Roman"/>
      </w:rPr>
    </w:lvl>
    <w:lvl w:ilvl="8" w:tentative="0">
      <w:start w:val="1"/>
      <w:numFmt w:val="decimal"/>
      <w:lvlText w:val="%1.%2.%3.%4.%5.%6.%7.%8.%9"/>
      <w:lvlJc w:val="left"/>
      <w:pPr>
        <w:tabs>
          <w:tab w:val="left" w:pos="5562"/>
        </w:tabs>
        <w:ind w:left="5102" w:hanging="1700"/>
      </w:pPr>
      <w:rPr>
        <w:rFonts w:hint="eastAsia" w:cs="Times New Roman"/>
      </w:rPr>
    </w:lvl>
  </w:abstractNum>
  <w:abstractNum w:abstractNumId="8">
    <w:nsid w:val="321EECFB"/>
    <w:multiLevelType w:val="singleLevel"/>
    <w:tmpl w:val="321EECFB"/>
    <w:lvl w:ilvl="0" w:tentative="0">
      <w:start w:val="1"/>
      <w:numFmt w:val="decimal"/>
      <w:suff w:val="nothing"/>
      <w:lvlText w:val="%1）"/>
      <w:lvlJc w:val="left"/>
    </w:lvl>
  </w:abstractNum>
  <w:abstractNum w:abstractNumId="9">
    <w:nsid w:val="3BB307AD"/>
    <w:multiLevelType w:val="multilevel"/>
    <w:tmpl w:val="3BB307AD"/>
    <w:lvl w:ilvl="0" w:tentative="0">
      <w:start w:val="10"/>
      <w:numFmt w:val="decimal"/>
      <w:lvlText w:val="%1"/>
      <w:lvlJc w:val="left"/>
      <w:pPr>
        <w:tabs>
          <w:tab w:val="left" w:pos="425"/>
        </w:tabs>
        <w:ind w:left="425" w:hanging="425"/>
      </w:pPr>
      <w:rPr>
        <w:rFonts w:hint="eastAsia" w:ascii="宋体" w:hAnsi="宋体" w:eastAsia="宋体"/>
      </w:rPr>
    </w:lvl>
    <w:lvl w:ilvl="1" w:tentative="0">
      <w:start w:val="3"/>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0">
    <w:nsid w:val="3CBA5DE3"/>
    <w:multiLevelType w:val="multilevel"/>
    <w:tmpl w:val="3CBA5DE3"/>
    <w:lvl w:ilvl="0" w:tentative="0">
      <w:start w:val="8"/>
      <w:numFmt w:val="decimal"/>
      <w:lvlText w:val="%1"/>
      <w:lvlJc w:val="left"/>
      <w:pPr>
        <w:tabs>
          <w:tab w:val="left" w:pos="425"/>
        </w:tabs>
        <w:ind w:left="425" w:hanging="425"/>
      </w:pPr>
      <w:rPr>
        <w:rFonts w:hint="eastAsia" w:ascii="宋体" w:hAnsi="宋体" w:eastAsia="宋体"/>
      </w:rPr>
    </w:lvl>
    <w:lvl w:ilvl="1" w:tentative="0">
      <w:start w:val="8"/>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1">
    <w:nsid w:val="47E56819"/>
    <w:multiLevelType w:val="multilevel"/>
    <w:tmpl w:val="47E56819"/>
    <w:lvl w:ilvl="0" w:tentative="0">
      <w:start w:val="8"/>
      <w:numFmt w:val="decimal"/>
      <w:lvlText w:val="%1"/>
      <w:lvlJc w:val="left"/>
      <w:pPr>
        <w:tabs>
          <w:tab w:val="left" w:pos="425"/>
        </w:tabs>
        <w:ind w:left="425" w:hanging="425"/>
      </w:pPr>
      <w:rPr>
        <w:rFonts w:hint="eastAsia" w:ascii="宋体" w:hAnsi="宋体" w:eastAsia="宋体"/>
      </w:rPr>
    </w:lvl>
    <w:lvl w:ilvl="1" w:tentative="0">
      <w:start w:val="1"/>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2">
    <w:nsid w:val="49A923A9"/>
    <w:multiLevelType w:val="multilevel"/>
    <w:tmpl w:val="49A923A9"/>
    <w:lvl w:ilvl="0" w:tentative="0">
      <w:start w:val="11"/>
      <w:numFmt w:val="decimal"/>
      <w:lvlText w:val="%1"/>
      <w:lvlJc w:val="left"/>
      <w:pPr>
        <w:tabs>
          <w:tab w:val="left" w:pos="425"/>
        </w:tabs>
        <w:ind w:left="425" w:hanging="425"/>
      </w:pPr>
      <w:rPr>
        <w:rFonts w:hint="eastAsia" w:ascii="宋体" w:hAnsi="宋体" w:eastAsia="宋体"/>
      </w:rPr>
    </w:lvl>
    <w:lvl w:ilvl="1" w:tentative="0">
      <w:start w:val="1"/>
      <w:numFmt w:val="decimal"/>
      <w:lvlText w:val="%1.%2"/>
      <w:lvlJc w:val="left"/>
      <w:pPr>
        <w:tabs>
          <w:tab w:val="left" w:pos="1247"/>
        </w:tabs>
        <w:ind w:left="1247" w:hanging="793"/>
      </w:pPr>
      <w:rPr>
        <w:rFonts w:hint="eastAsia" w:ascii="宋体" w:hAnsi="宋体" w:eastAsia="宋体"/>
      </w:rPr>
    </w:lvl>
    <w:lvl w:ilvl="2" w:tentative="0">
      <w:start w:val="1"/>
      <w:numFmt w:val="decimal"/>
      <w:lvlText w:val="%1.%2.%3"/>
      <w:lvlJc w:val="left"/>
      <w:pPr>
        <w:tabs>
          <w:tab w:val="left" w:pos="1418"/>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399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202"/>
        </w:tabs>
        <w:ind w:left="5102" w:hanging="1700"/>
      </w:pPr>
      <w:rPr>
        <w:rFonts w:hint="eastAsia" w:ascii="宋体" w:hAnsi="宋体" w:eastAsia="宋体"/>
      </w:rPr>
    </w:lvl>
  </w:abstractNum>
  <w:abstractNum w:abstractNumId="13">
    <w:nsid w:val="49B6000C"/>
    <w:multiLevelType w:val="multilevel"/>
    <w:tmpl w:val="49B6000C"/>
    <w:lvl w:ilvl="0" w:tentative="0">
      <w:start w:val="9"/>
      <w:numFmt w:val="decimal"/>
      <w:lvlText w:val="%1"/>
      <w:lvlJc w:val="left"/>
      <w:pPr>
        <w:tabs>
          <w:tab w:val="left" w:pos="425"/>
        </w:tabs>
        <w:ind w:left="425" w:hanging="425"/>
      </w:pPr>
      <w:rPr>
        <w:rFonts w:hint="eastAsia" w:ascii="宋体" w:hAnsi="宋体" w:eastAsia="宋体"/>
      </w:rPr>
    </w:lvl>
    <w:lvl w:ilvl="1" w:tentative="0">
      <w:start w:val="1"/>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4">
    <w:nsid w:val="4E18C8BB"/>
    <w:multiLevelType w:val="singleLevel"/>
    <w:tmpl w:val="4E18C8BB"/>
    <w:lvl w:ilvl="0" w:tentative="0">
      <w:start w:val="23"/>
      <w:numFmt w:val="decimal"/>
      <w:lvlText w:val="%1."/>
      <w:lvlJc w:val="left"/>
      <w:pPr>
        <w:tabs>
          <w:tab w:val="left" w:pos="312"/>
        </w:tabs>
      </w:pPr>
    </w:lvl>
  </w:abstractNum>
  <w:abstractNum w:abstractNumId="15">
    <w:nsid w:val="4E3630BD"/>
    <w:multiLevelType w:val="multilevel"/>
    <w:tmpl w:val="4E3630BD"/>
    <w:lvl w:ilvl="0" w:tentative="0">
      <w:start w:val="9"/>
      <w:numFmt w:val="decimal"/>
      <w:lvlText w:val="%1"/>
      <w:lvlJc w:val="left"/>
      <w:pPr>
        <w:tabs>
          <w:tab w:val="left" w:pos="425"/>
        </w:tabs>
        <w:ind w:left="425" w:hanging="425"/>
      </w:pPr>
      <w:rPr>
        <w:rFonts w:hint="eastAsia" w:ascii="宋体" w:hAnsi="宋体" w:eastAsia="宋体"/>
      </w:rPr>
    </w:lvl>
    <w:lvl w:ilvl="1" w:tentative="0">
      <w:start w:val="4"/>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6">
    <w:nsid w:val="585D2242"/>
    <w:multiLevelType w:val="multilevel"/>
    <w:tmpl w:val="585D2242"/>
    <w:lvl w:ilvl="0" w:tentative="0">
      <w:start w:val="8"/>
      <w:numFmt w:val="decimal"/>
      <w:lvlText w:val="%1"/>
      <w:lvlJc w:val="left"/>
      <w:pPr>
        <w:tabs>
          <w:tab w:val="left" w:pos="425"/>
        </w:tabs>
        <w:ind w:left="425" w:hanging="425"/>
      </w:pPr>
      <w:rPr>
        <w:rFonts w:hint="eastAsia" w:ascii="宋体" w:hAnsi="宋体" w:eastAsia="宋体"/>
      </w:rPr>
    </w:lvl>
    <w:lvl w:ilvl="1" w:tentative="0">
      <w:start w:val="7"/>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7">
    <w:nsid w:val="68251067"/>
    <w:multiLevelType w:val="multilevel"/>
    <w:tmpl w:val="68251067"/>
    <w:lvl w:ilvl="0" w:tentative="0">
      <w:start w:val="8"/>
      <w:numFmt w:val="decimal"/>
      <w:lvlText w:val="%1"/>
      <w:lvlJc w:val="left"/>
      <w:pPr>
        <w:tabs>
          <w:tab w:val="left" w:pos="425"/>
        </w:tabs>
        <w:ind w:left="425" w:hanging="425"/>
      </w:pPr>
      <w:rPr>
        <w:rFonts w:hint="eastAsia" w:ascii="宋体" w:hAnsi="宋体" w:eastAsia="宋体"/>
      </w:rPr>
    </w:lvl>
    <w:lvl w:ilvl="1" w:tentative="0">
      <w:start w:val="9"/>
      <w:numFmt w:val="decimal"/>
      <w:lvlText w:val="%1.%2"/>
      <w:lvlJc w:val="left"/>
      <w:pPr>
        <w:tabs>
          <w:tab w:val="left" w:pos="992"/>
        </w:tabs>
        <w:ind w:left="992" w:hanging="567"/>
      </w:pPr>
      <w:rPr>
        <w:rFonts w:hint="eastAsia" w:ascii="宋体" w:hAnsi="宋体" w:eastAsia="宋体"/>
      </w:rPr>
    </w:lvl>
    <w:lvl w:ilvl="2" w:tentative="0">
      <w:start w:val="1"/>
      <w:numFmt w:val="decimal"/>
      <w:lvlText w:val="%1.%2.%3"/>
      <w:lvlJc w:val="left"/>
      <w:pPr>
        <w:tabs>
          <w:tab w:val="left" w:pos="1571"/>
        </w:tabs>
        <w:ind w:left="1418" w:hanging="567"/>
      </w:pPr>
      <w:rPr>
        <w:rFonts w:hint="eastAsia" w:ascii="宋体" w:hAnsi="宋体" w:eastAsia="宋体"/>
      </w:rPr>
    </w:lvl>
    <w:lvl w:ilvl="3" w:tentative="0">
      <w:start w:val="1"/>
      <w:numFmt w:val="decimal"/>
      <w:lvlText w:val="%1.%2.%3.%4"/>
      <w:lvlJc w:val="left"/>
      <w:pPr>
        <w:tabs>
          <w:tab w:val="left" w:pos="2356"/>
        </w:tabs>
        <w:ind w:left="1984" w:hanging="708"/>
      </w:pPr>
      <w:rPr>
        <w:rFonts w:hint="eastAsia" w:ascii="宋体" w:hAnsi="宋体" w:eastAsia="宋体"/>
      </w:rPr>
    </w:lvl>
    <w:lvl w:ilvl="4" w:tentative="0">
      <w:start w:val="1"/>
      <w:numFmt w:val="decimal"/>
      <w:lvlText w:val="%1.%2.%3.%4.%5"/>
      <w:lvlJc w:val="left"/>
      <w:pPr>
        <w:tabs>
          <w:tab w:val="left" w:pos="2781"/>
        </w:tabs>
        <w:ind w:left="2551" w:hanging="850"/>
      </w:pPr>
      <w:rPr>
        <w:rFonts w:hint="eastAsia" w:ascii="宋体" w:hAnsi="宋体" w:eastAsia="宋体"/>
      </w:rPr>
    </w:lvl>
    <w:lvl w:ilvl="5" w:tentative="0">
      <w:start w:val="1"/>
      <w:numFmt w:val="decimal"/>
      <w:lvlText w:val="%1.%2.%3.%4.%5.%6"/>
      <w:lvlJc w:val="left"/>
      <w:pPr>
        <w:tabs>
          <w:tab w:val="left" w:pos="3566"/>
        </w:tabs>
        <w:ind w:left="3260" w:hanging="1134"/>
      </w:pPr>
      <w:rPr>
        <w:rFonts w:hint="eastAsia" w:ascii="宋体" w:hAnsi="宋体" w:eastAsia="宋体"/>
      </w:rPr>
    </w:lvl>
    <w:lvl w:ilvl="6" w:tentative="0">
      <w:start w:val="1"/>
      <w:numFmt w:val="decimal"/>
      <w:lvlText w:val="%1.%2.%3.%4.%5.%6.%7"/>
      <w:lvlJc w:val="left"/>
      <w:pPr>
        <w:tabs>
          <w:tab w:val="left" w:pos="4351"/>
        </w:tabs>
        <w:ind w:left="3827" w:hanging="1276"/>
      </w:pPr>
      <w:rPr>
        <w:rFonts w:hint="eastAsia" w:ascii="宋体" w:hAnsi="宋体" w:eastAsia="宋体"/>
      </w:rPr>
    </w:lvl>
    <w:lvl w:ilvl="7" w:tentative="0">
      <w:start w:val="1"/>
      <w:numFmt w:val="decimal"/>
      <w:lvlText w:val="%1.%2.%3.%4.%5.%6.%7.%8"/>
      <w:lvlJc w:val="left"/>
      <w:pPr>
        <w:tabs>
          <w:tab w:val="left" w:pos="4776"/>
        </w:tabs>
        <w:ind w:left="4394" w:hanging="1418"/>
      </w:pPr>
      <w:rPr>
        <w:rFonts w:hint="eastAsia" w:ascii="宋体" w:hAnsi="宋体" w:eastAsia="宋体"/>
      </w:rPr>
    </w:lvl>
    <w:lvl w:ilvl="8" w:tentative="0">
      <w:start w:val="1"/>
      <w:numFmt w:val="decimal"/>
      <w:lvlText w:val="%1.%2.%3.%4.%5.%6.%7.%8.%9"/>
      <w:lvlJc w:val="left"/>
      <w:pPr>
        <w:tabs>
          <w:tab w:val="left" w:pos="5562"/>
        </w:tabs>
        <w:ind w:left="5102" w:hanging="1700"/>
      </w:pPr>
      <w:rPr>
        <w:rFonts w:hint="eastAsia" w:ascii="宋体" w:hAnsi="宋体" w:eastAsia="宋体"/>
      </w:rPr>
    </w:lvl>
  </w:abstractNum>
  <w:abstractNum w:abstractNumId="18">
    <w:nsid w:val="68A67A33"/>
    <w:multiLevelType w:val="multilevel"/>
    <w:tmpl w:val="68A67A33"/>
    <w:lvl w:ilvl="0" w:tentative="0">
      <w:start w:val="1"/>
      <w:numFmt w:val="decimal"/>
      <w:lvlText w:val="(%1)"/>
      <w:lvlJc w:val="left"/>
      <w:pPr>
        <w:ind w:left="900" w:hanging="420"/>
      </w:pPr>
      <w:rPr>
        <w:rFonts w:hint="default" w:ascii="Times New Roman" w:hAnsi="Times New Roman" w:cs="Times New Roman"/>
      </w:rPr>
    </w:lvl>
    <w:lvl w:ilvl="1" w:tentative="0">
      <w:start w:val="1"/>
      <w:numFmt w:val="decimal"/>
      <w:lvlText w:val="%2）"/>
      <w:lvlJc w:val="left"/>
      <w:pPr>
        <w:ind w:left="1740" w:hanging="840"/>
      </w:pPr>
      <w:rPr>
        <w:rFonts w:hint="default" w:ascii="Times New Roman" w:hAnsi="Times New Roman" w:cs="Times New Roman"/>
      </w:rPr>
    </w:lvl>
    <w:lvl w:ilvl="2" w:tentative="0">
      <w:start w:val="1"/>
      <w:numFmt w:val="lowerRoman"/>
      <w:lvlText w:val="%3."/>
      <w:lvlJc w:val="right"/>
      <w:pPr>
        <w:ind w:left="1740" w:hanging="420"/>
      </w:pPr>
      <w:rPr>
        <w:rFonts w:hint="default" w:ascii="Times New Roman" w:hAnsi="Times New Roman" w:cs="Times New Roman"/>
      </w:rPr>
    </w:lvl>
    <w:lvl w:ilvl="3" w:tentative="0">
      <w:start w:val="1"/>
      <w:numFmt w:val="decimal"/>
      <w:lvlText w:val="%4."/>
      <w:lvlJc w:val="left"/>
      <w:pPr>
        <w:ind w:left="2160" w:hanging="420"/>
      </w:pPr>
      <w:rPr>
        <w:rFonts w:hint="default" w:ascii="Times New Roman" w:hAnsi="Times New Roman" w:cs="Times New Roman"/>
      </w:rPr>
    </w:lvl>
    <w:lvl w:ilvl="4" w:tentative="0">
      <w:start w:val="1"/>
      <w:numFmt w:val="lowerLetter"/>
      <w:lvlText w:val="%5)"/>
      <w:lvlJc w:val="left"/>
      <w:pPr>
        <w:ind w:left="2580" w:hanging="420"/>
      </w:pPr>
      <w:rPr>
        <w:rFonts w:hint="default" w:ascii="Times New Roman" w:hAnsi="Times New Roman" w:cs="Times New Roman"/>
      </w:rPr>
    </w:lvl>
    <w:lvl w:ilvl="5" w:tentative="0">
      <w:start w:val="1"/>
      <w:numFmt w:val="lowerRoman"/>
      <w:lvlText w:val="%6."/>
      <w:lvlJc w:val="right"/>
      <w:pPr>
        <w:ind w:left="3000" w:hanging="420"/>
      </w:pPr>
      <w:rPr>
        <w:rFonts w:hint="default" w:ascii="Times New Roman" w:hAnsi="Times New Roman" w:cs="Times New Roman"/>
      </w:rPr>
    </w:lvl>
    <w:lvl w:ilvl="6" w:tentative="0">
      <w:start w:val="1"/>
      <w:numFmt w:val="decimal"/>
      <w:lvlText w:val="%7."/>
      <w:lvlJc w:val="left"/>
      <w:pPr>
        <w:ind w:left="3420" w:hanging="420"/>
      </w:pPr>
      <w:rPr>
        <w:rFonts w:hint="default" w:ascii="Times New Roman" w:hAnsi="Times New Roman" w:cs="Times New Roman"/>
      </w:rPr>
    </w:lvl>
    <w:lvl w:ilvl="7" w:tentative="0">
      <w:start w:val="1"/>
      <w:numFmt w:val="lowerLetter"/>
      <w:lvlText w:val="%8)"/>
      <w:lvlJc w:val="left"/>
      <w:pPr>
        <w:ind w:left="3840" w:hanging="420"/>
      </w:pPr>
      <w:rPr>
        <w:rFonts w:hint="default" w:ascii="Times New Roman" w:hAnsi="Times New Roman" w:cs="Times New Roman"/>
      </w:rPr>
    </w:lvl>
    <w:lvl w:ilvl="8" w:tentative="0">
      <w:start w:val="1"/>
      <w:numFmt w:val="lowerRoman"/>
      <w:lvlText w:val="%9."/>
      <w:lvlJc w:val="right"/>
      <w:pPr>
        <w:ind w:left="4260" w:hanging="420"/>
      </w:pPr>
      <w:rPr>
        <w:rFonts w:hint="default" w:ascii="Times New Roman" w:hAnsi="Times New Roman" w:cs="Times New Roman"/>
      </w:rPr>
    </w:lvl>
  </w:abstractNum>
  <w:abstractNum w:abstractNumId="19">
    <w:nsid w:val="79D94EB9"/>
    <w:multiLevelType w:val="multilevel"/>
    <w:tmpl w:val="79D94EB9"/>
    <w:lvl w:ilvl="0" w:tentative="0">
      <w:start w:val="1"/>
      <w:numFmt w:val="decimal"/>
      <w:lvlText w:val="%1"/>
      <w:lvlJc w:val="left"/>
      <w:pPr>
        <w:tabs>
          <w:tab w:val="left" w:pos="425"/>
        </w:tabs>
        <w:ind w:left="425" w:hanging="425"/>
      </w:pPr>
      <w:rPr>
        <w:rFonts w:hint="eastAsia" w:ascii="Times New Roman" w:hAnsi="Times New Roman" w:eastAsia="宋体" w:cs="Times New Roman"/>
        <w:b w:val="0"/>
        <w:color w:val="auto"/>
      </w:rPr>
    </w:lvl>
    <w:lvl w:ilvl="1" w:tentative="0">
      <w:start w:val="1"/>
      <w:numFmt w:val="decimal"/>
      <w:lvlText w:val="%1.%2"/>
      <w:lvlJc w:val="left"/>
      <w:pPr>
        <w:tabs>
          <w:tab w:val="left" w:pos="1512"/>
        </w:tabs>
        <w:ind w:left="1512" w:hanging="567"/>
      </w:pPr>
      <w:rPr>
        <w:rFonts w:hint="eastAsia" w:ascii="Times New Roman" w:hAnsi="Times New Roman" w:eastAsia="宋体" w:cs="Times New Roman"/>
        <w:b w:val="0"/>
        <w:color w:val="auto"/>
      </w:rPr>
    </w:lvl>
    <w:lvl w:ilvl="2" w:tentative="0">
      <w:start w:val="1"/>
      <w:numFmt w:val="decimal"/>
      <w:lvlText w:val="(%3)"/>
      <w:lvlJc w:val="left"/>
      <w:pPr>
        <w:tabs>
          <w:tab w:val="left" w:pos="1418"/>
        </w:tabs>
        <w:ind w:left="1418" w:hanging="567"/>
      </w:pPr>
      <w:rPr>
        <w:rFonts w:hint="default" w:cs="Times New Roman"/>
        <w:color w:val="auto"/>
      </w:rPr>
    </w:lvl>
    <w:lvl w:ilvl="3" w:tentative="0">
      <w:start w:val="1"/>
      <w:numFmt w:val="decimal"/>
      <w:lvlText w:val="9.1.%1.%2.%3.%4"/>
      <w:lvlJc w:val="left"/>
      <w:pPr>
        <w:tabs>
          <w:tab w:val="left" w:pos="2356"/>
        </w:tabs>
        <w:ind w:left="1984" w:hanging="708"/>
      </w:pPr>
      <w:rPr>
        <w:rFonts w:hint="eastAsia" w:cs="Times New Roman"/>
      </w:rPr>
    </w:lvl>
    <w:lvl w:ilvl="4" w:tentative="0">
      <w:start w:val="1"/>
      <w:numFmt w:val="decimal"/>
      <w:lvlText w:val="9.1.%1.%2.%3.%4.%5"/>
      <w:lvlJc w:val="left"/>
      <w:pPr>
        <w:tabs>
          <w:tab w:val="left" w:pos="2781"/>
        </w:tabs>
        <w:ind w:left="2551" w:hanging="850"/>
      </w:pPr>
      <w:rPr>
        <w:rFonts w:hint="eastAsia" w:cs="Times New Roman"/>
      </w:rPr>
    </w:lvl>
    <w:lvl w:ilvl="5" w:tentative="0">
      <w:start w:val="1"/>
      <w:numFmt w:val="none"/>
      <w:lvlText w:val=""/>
      <w:lvlJc w:val="left"/>
      <w:pPr>
        <w:tabs>
          <w:tab w:val="left" w:pos="3566"/>
        </w:tabs>
        <w:ind w:left="3260" w:hanging="1134"/>
      </w:pPr>
      <w:rPr>
        <w:rFonts w:hint="eastAsia" w:cs="Times New Roman"/>
      </w:rPr>
    </w:lvl>
    <w:lvl w:ilvl="6" w:tentative="0">
      <w:start w:val="1"/>
      <w:numFmt w:val="decimal"/>
      <w:lvlText w:val="%1.%2.%3.%4.%5.%6.%7"/>
      <w:lvlJc w:val="left"/>
      <w:pPr>
        <w:tabs>
          <w:tab w:val="left" w:pos="3991"/>
        </w:tabs>
        <w:ind w:left="3827" w:hanging="1276"/>
      </w:pPr>
      <w:rPr>
        <w:rFonts w:hint="eastAsia" w:cs="Times New Roman"/>
      </w:rPr>
    </w:lvl>
    <w:lvl w:ilvl="7" w:tentative="0">
      <w:start w:val="1"/>
      <w:numFmt w:val="decimal"/>
      <w:lvlText w:val="%1.%2.%3.%4.%5.%6.%7.%8"/>
      <w:lvlJc w:val="left"/>
      <w:pPr>
        <w:tabs>
          <w:tab w:val="left" w:pos="4776"/>
        </w:tabs>
        <w:ind w:left="4394" w:hanging="1418"/>
      </w:pPr>
      <w:rPr>
        <w:rFonts w:hint="eastAsia" w:cs="Times New Roman"/>
      </w:rPr>
    </w:lvl>
    <w:lvl w:ilvl="8" w:tentative="0">
      <w:start w:val="1"/>
      <w:numFmt w:val="decimal"/>
      <w:lvlText w:val="%1.%2.%3.%4.%5.%6.%7.%8.%9"/>
      <w:lvlJc w:val="left"/>
      <w:pPr>
        <w:tabs>
          <w:tab w:val="left" w:pos="5562"/>
        </w:tabs>
        <w:ind w:left="5102" w:hanging="1700"/>
      </w:pPr>
      <w:rPr>
        <w:rFonts w:hint="eastAsia" w:cs="Times New Roman"/>
      </w:rPr>
    </w:lvl>
  </w:abstractNum>
  <w:abstractNum w:abstractNumId="20">
    <w:nsid w:val="7CA10CFA"/>
    <w:multiLevelType w:val="multilevel"/>
    <w:tmpl w:val="7CA10CFA"/>
    <w:lvl w:ilvl="0" w:tentative="0">
      <w:start w:val="1"/>
      <w:numFmt w:val="decimal"/>
      <w:lvlText w:val="%1"/>
      <w:lvlJc w:val="left"/>
      <w:pPr>
        <w:tabs>
          <w:tab w:val="left" w:pos="425"/>
        </w:tabs>
        <w:ind w:left="425" w:hanging="425"/>
      </w:pPr>
      <w:rPr>
        <w:rFonts w:hint="eastAsia" w:ascii="Times New Roman" w:hAnsi="Times New Roman" w:eastAsia="宋体" w:cs="Times New Roman"/>
        <w:b w:val="0"/>
        <w:color w:val="auto"/>
      </w:rPr>
    </w:lvl>
    <w:lvl w:ilvl="1" w:tentative="0">
      <w:start w:val="1"/>
      <w:numFmt w:val="decimal"/>
      <w:lvlText w:val="%1.%2"/>
      <w:lvlJc w:val="left"/>
      <w:pPr>
        <w:tabs>
          <w:tab w:val="left" w:pos="1512"/>
        </w:tabs>
        <w:ind w:left="1512" w:hanging="567"/>
      </w:pPr>
      <w:rPr>
        <w:rFonts w:hint="eastAsia" w:ascii="Times New Roman" w:hAnsi="Times New Roman" w:eastAsia="宋体" w:cs="Times New Roman"/>
        <w:b w:val="0"/>
        <w:color w:val="auto"/>
      </w:rPr>
    </w:lvl>
    <w:lvl w:ilvl="2" w:tentative="0">
      <w:start w:val="1"/>
      <w:numFmt w:val="decimal"/>
      <w:lvlText w:val="(%3)"/>
      <w:lvlJc w:val="left"/>
      <w:pPr>
        <w:tabs>
          <w:tab w:val="left" w:pos="1418"/>
        </w:tabs>
        <w:ind w:left="1418" w:hanging="567"/>
      </w:pPr>
      <w:rPr>
        <w:rFonts w:hint="default" w:cs="Times New Roman"/>
        <w:color w:val="auto"/>
      </w:rPr>
    </w:lvl>
    <w:lvl w:ilvl="3" w:tentative="0">
      <w:start w:val="1"/>
      <w:numFmt w:val="decimal"/>
      <w:lvlText w:val="9.1.%1.%2.%3.%4"/>
      <w:lvlJc w:val="left"/>
      <w:pPr>
        <w:tabs>
          <w:tab w:val="left" w:pos="2356"/>
        </w:tabs>
        <w:ind w:left="1984" w:hanging="708"/>
      </w:pPr>
      <w:rPr>
        <w:rFonts w:hint="eastAsia" w:cs="Times New Roman"/>
      </w:rPr>
    </w:lvl>
    <w:lvl w:ilvl="4" w:tentative="0">
      <w:start w:val="1"/>
      <w:numFmt w:val="decimal"/>
      <w:lvlText w:val="9.1.%1.%2.%3.%4.%5"/>
      <w:lvlJc w:val="left"/>
      <w:pPr>
        <w:tabs>
          <w:tab w:val="left" w:pos="2781"/>
        </w:tabs>
        <w:ind w:left="2551" w:hanging="850"/>
      </w:pPr>
      <w:rPr>
        <w:rFonts w:hint="eastAsia" w:cs="Times New Roman"/>
      </w:rPr>
    </w:lvl>
    <w:lvl w:ilvl="5" w:tentative="0">
      <w:start w:val="1"/>
      <w:numFmt w:val="none"/>
      <w:lvlText w:val=""/>
      <w:lvlJc w:val="left"/>
      <w:pPr>
        <w:tabs>
          <w:tab w:val="left" w:pos="3566"/>
        </w:tabs>
        <w:ind w:left="3260" w:hanging="1134"/>
      </w:pPr>
      <w:rPr>
        <w:rFonts w:hint="eastAsia" w:cs="Times New Roman"/>
      </w:rPr>
    </w:lvl>
    <w:lvl w:ilvl="6" w:tentative="0">
      <w:start w:val="1"/>
      <w:numFmt w:val="decimal"/>
      <w:lvlText w:val="%1.%2.%3.%4.%5.%6.%7"/>
      <w:lvlJc w:val="left"/>
      <w:pPr>
        <w:tabs>
          <w:tab w:val="left" w:pos="3991"/>
        </w:tabs>
        <w:ind w:left="3827" w:hanging="1276"/>
      </w:pPr>
      <w:rPr>
        <w:rFonts w:hint="eastAsia" w:cs="Times New Roman"/>
      </w:rPr>
    </w:lvl>
    <w:lvl w:ilvl="7" w:tentative="0">
      <w:start w:val="1"/>
      <w:numFmt w:val="decimal"/>
      <w:lvlText w:val="%1.%2.%3.%4.%5.%6.%7.%8"/>
      <w:lvlJc w:val="left"/>
      <w:pPr>
        <w:tabs>
          <w:tab w:val="left" w:pos="4776"/>
        </w:tabs>
        <w:ind w:left="4394" w:hanging="1418"/>
      </w:pPr>
      <w:rPr>
        <w:rFonts w:hint="eastAsia" w:cs="Times New Roman"/>
      </w:rPr>
    </w:lvl>
    <w:lvl w:ilvl="8" w:tentative="0">
      <w:start w:val="1"/>
      <w:numFmt w:val="decimal"/>
      <w:lvlText w:val="%1.%2.%3.%4.%5.%6.%7.%8.%9"/>
      <w:lvlJc w:val="left"/>
      <w:pPr>
        <w:tabs>
          <w:tab w:val="left" w:pos="5562"/>
        </w:tabs>
        <w:ind w:left="5102" w:hanging="1700"/>
      </w:pPr>
      <w:rPr>
        <w:rFonts w:hint="eastAsia" w:cs="Times New Roman"/>
      </w:rPr>
    </w:lvl>
  </w:abstractNum>
  <w:num w:numId="1">
    <w:abstractNumId w:val="0"/>
  </w:num>
  <w:num w:numId="2">
    <w:abstractNumId w:val="0"/>
    <w:lvlOverride w:ilvl="0">
      <w:startOverride w:val="1"/>
    </w:lvlOverride>
  </w:num>
  <w:num w:numId="3">
    <w:abstractNumId w:val="8"/>
  </w:num>
  <w:num w:numId="4">
    <w:abstractNumId w:val="14"/>
  </w:num>
  <w:num w:numId="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1"/>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startOverride w:val="8"/>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0"/>
    <w:lvlOverride w:ilvl="0">
      <w:startOverride w:val="8"/>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7"/>
    <w:lvlOverride w:ilvl="0">
      <w:startOverride w:val="8"/>
    </w:lvlOverride>
    <w:lvlOverride w:ilvl="1">
      <w:startOverride w:val="9"/>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5"/>
    <w:lvlOverride w:ilvl="0">
      <w:startOverride w:val="9"/>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0"/>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6"/>
    <w:lvlOverride w:ilvl="0">
      <w:startOverride w:val="1"/>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2"/>
    <w:lvlOverride w:ilvl="0">
      <w:startOverride w:val="1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
  </w:num>
  <w:num w:numId="19">
    <w:abstractNumId w:val="5"/>
  </w:num>
  <w:num w:numId="20">
    <w:abstractNumId w:val="19"/>
  </w:num>
  <w:num w:numId="21">
    <w:abstractNumId w:val="7"/>
  </w:num>
  <w:num w:numId="22">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oNotShadeFormData w:val="1"/>
  <w:noPunctuationKerning w:val="1"/>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ODkyYWJkNTg5NWFmNjE1M2Y3N2JkYTU0OTRlZmYyMTQifQ=="/>
  </w:docVars>
  <w:rsids>
    <w:rsidRoot w:val="00172A27"/>
    <w:rsid w:val="0000063D"/>
    <w:rsid w:val="00000BF7"/>
    <w:rsid w:val="00000FEF"/>
    <w:rsid w:val="00001823"/>
    <w:rsid w:val="00002277"/>
    <w:rsid w:val="00002874"/>
    <w:rsid w:val="000029D7"/>
    <w:rsid w:val="00002CE1"/>
    <w:rsid w:val="00003517"/>
    <w:rsid w:val="00003AD5"/>
    <w:rsid w:val="000046B4"/>
    <w:rsid w:val="00005748"/>
    <w:rsid w:val="0000615D"/>
    <w:rsid w:val="00006519"/>
    <w:rsid w:val="00006548"/>
    <w:rsid w:val="00006B37"/>
    <w:rsid w:val="00007B06"/>
    <w:rsid w:val="000100E6"/>
    <w:rsid w:val="0001091C"/>
    <w:rsid w:val="00010953"/>
    <w:rsid w:val="00010C6F"/>
    <w:rsid w:val="00010E93"/>
    <w:rsid w:val="000115AB"/>
    <w:rsid w:val="0001198C"/>
    <w:rsid w:val="00011D32"/>
    <w:rsid w:val="00012A14"/>
    <w:rsid w:val="000134A1"/>
    <w:rsid w:val="00013900"/>
    <w:rsid w:val="00013A2D"/>
    <w:rsid w:val="00013FA2"/>
    <w:rsid w:val="000144A3"/>
    <w:rsid w:val="00014707"/>
    <w:rsid w:val="00015062"/>
    <w:rsid w:val="0001540F"/>
    <w:rsid w:val="000163CA"/>
    <w:rsid w:val="000202D1"/>
    <w:rsid w:val="0002145E"/>
    <w:rsid w:val="00021BB6"/>
    <w:rsid w:val="00023042"/>
    <w:rsid w:val="00023074"/>
    <w:rsid w:val="00023184"/>
    <w:rsid w:val="0002406F"/>
    <w:rsid w:val="00026A87"/>
    <w:rsid w:val="00026F93"/>
    <w:rsid w:val="00027136"/>
    <w:rsid w:val="000275FC"/>
    <w:rsid w:val="00027B10"/>
    <w:rsid w:val="000304FA"/>
    <w:rsid w:val="0003076E"/>
    <w:rsid w:val="00031069"/>
    <w:rsid w:val="00031281"/>
    <w:rsid w:val="00031D5B"/>
    <w:rsid w:val="00031D65"/>
    <w:rsid w:val="0003224B"/>
    <w:rsid w:val="00032684"/>
    <w:rsid w:val="00032723"/>
    <w:rsid w:val="00032C09"/>
    <w:rsid w:val="00032F63"/>
    <w:rsid w:val="0003382E"/>
    <w:rsid w:val="00034082"/>
    <w:rsid w:val="0003474C"/>
    <w:rsid w:val="00035349"/>
    <w:rsid w:val="000353C0"/>
    <w:rsid w:val="0003569A"/>
    <w:rsid w:val="0003636E"/>
    <w:rsid w:val="00036E55"/>
    <w:rsid w:val="00036F2A"/>
    <w:rsid w:val="00037927"/>
    <w:rsid w:val="00040D3A"/>
    <w:rsid w:val="00040E80"/>
    <w:rsid w:val="0004196B"/>
    <w:rsid w:val="000426CE"/>
    <w:rsid w:val="000427CA"/>
    <w:rsid w:val="00042C4F"/>
    <w:rsid w:val="000431FC"/>
    <w:rsid w:val="00043443"/>
    <w:rsid w:val="00043F4F"/>
    <w:rsid w:val="00044C4D"/>
    <w:rsid w:val="00044E82"/>
    <w:rsid w:val="00045091"/>
    <w:rsid w:val="000451C6"/>
    <w:rsid w:val="0004540E"/>
    <w:rsid w:val="00045717"/>
    <w:rsid w:val="00045AAA"/>
    <w:rsid w:val="00046866"/>
    <w:rsid w:val="000469A0"/>
    <w:rsid w:val="00046C2B"/>
    <w:rsid w:val="0004769A"/>
    <w:rsid w:val="000501D0"/>
    <w:rsid w:val="000505A0"/>
    <w:rsid w:val="000507AF"/>
    <w:rsid w:val="00051CF3"/>
    <w:rsid w:val="00051F06"/>
    <w:rsid w:val="00052326"/>
    <w:rsid w:val="0005266A"/>
    <w:rsid w:val="00052807"/>
    <w:rsid w:val="00053414"/>
    <w:rsid w:val="00053580"/>
    <w:rsid w:val="00053853"/>
    <w:rsid w:val="00054660"/>
    <w:rsid w:val="000557EA"/>
    <w:rsid w:val="00056AF6"/>
    <w:rsid w:val="00057584"/>
    <w:rsid w:val="00060448"/>
    <w:rsid w:val="00060D4F"/>
    <w:rsid w:val="00060D59"/>
    <w:rsid w:val="00062AF3"/>
    <w:rsid w:val="00064AD0"/>
    <w:rsid w:val="00064AF6"/>
    <w:rsid w:val="00065FEC"/>
    <w:rsid w:val="000669BD"/>
    <w:rsid w:val="00070299"/>
    <w:rsid w:val="000710F7"/>
    <w:rsid w:val="000715DD"/>
    <w:rsid w:val="000719E3"/>
    <w:rsid w:val="00071F11"/>
    <w:rsid w:val="000733C1"/>
    <w:rsid w:val="000736E2"/>
    <w:rsid w:val="00073A95"/>
    <w:rsid w:val="00073C4B"/>
    <w:rsid w:val="00073C87"/>
    <w:rsid w:val="0007402C"/>
    <w:rsid w:val="00074A1A"/>
    <w:rsid w:val="00074E6F"/>
    <w:rsid w:val="000753A9"/>
    <w:rsid w:val="00075922"/>
    <w:rsid w:val="00076546"/>
    <w:rsid w:val="0007727E"/>
    <w:rsid w:val="0007742A"/>
    <w:rsid w:val="000778EF"/>
    <w:rsid w:val="00077C47"/>
    <w:rsid w:val="000800C8"/>
    <w:rsid w:val="000808B0"/>
    <w:rsid w:val="000815DA"/>
    <w:rsid w:val="000816EB"/>
    <w:rsid w:val="000816F3"/>
    <w:rsid w:val="0008249A"/>
    <w:rsid w:val="00082747"/>
    <w:rsid w:val="00083826"/>
    <w:rsid w:val="00083ADD"/>
    <w:rsid w:val="00084ADF"/>
    <w:rsid w:val="00085770"/>
    <w:rsid w:val="00085784"/>
    <w:rsid w:val="00090C1F"/>
    <w:rsid w:val="00090DAA"/>
    <w:rsid w:val="000911FA"/>
    <w:rsid w:val="00091585"/>
    <w:rsid w:val="00091623"/>
    <w:rsid w:val="00091F2F"/>
    <w:rsid w:val="00091FC0"/>
    <w:rsid w:val="000925BF"/>
    <w:rsid w:val="000929DE"/>
    <w:rsid w:val="000934FF"/>
    <w:rsid w:val="00093681"/>
    <w:rsid w:val="00093CCC"/>
    <w:rsid w:val="00094965"/>
    <w:rsid w:val="000956C6"/>
    <w:rsid w:val="00095D3C"/>
    <w:rsid w:val="00096106"/>
    <w:rsid w:val="00096B50"/>
    <w:rsid w:val="000976F3"/>
    <w:rsid w:val="000979D5"/>
    <w:rsid w:val="00097C0C"/>
    <w:rsid w:val="00097E4C"/>
    <w:rsid w:val="000A149A"/>
    <w:rsid w:val="000A253C"/>
    <w:rsid w:val="000A2856"/>
    <w:rsid w:val="000A28E1"/>
    <w:rsid w:val="000A2E6E"/>
    <w:rsid w:val="000A2F67"/>
    <w:rsid w:val="000A3018"/>
    <w:rsid w:val="000A341E"/>
    <w:rsid w:val="000A3AE7"/>
    <w:rsid w:val="000A4013"/>
    <w:rsid w:val="000A4725"/>
    <w:rsid w:val="000A4EB4"/>
    <w:rsid w:val="000A59DE"/>
    <w:rsid w:val="000A5AED"/>
    <w:rsid w:val="000A6523"/>
    <w:rsid w:val="000A67E5"/>
    <w:rsid w:val="000A6FF1"/>
    <w:rsid w:val="000A73C7"/>
    <w:rsid w:val="000B02B4"/>
    <w:rsid w:val="000B03A2"/>
    <w:rsid w:val="000B03FE"/>
    <w:rsid w:val="000B0B1F"/>
    <w:rsid w:val="000B25EC"/>
    <w:rsid w:val="000B27E4"/>
    <w:rsid w:val="000B2ABC"/>
    <w:rsid w:val="000B2EFD"/>
    <w:rsid w:val="000B3468"/>
    <w:rsid w:val="000B517C"/>
    <w:rsid w:val="000B5868"/>
    <w:rsid w:val="000B5879"/>
    <w:rsid w:val="000B5E97"/>
    <w:rsid w:val="000B6BFE"/>
    <w:rsid w:val="000B6FFB"/>
    <w:rsid w:val="000B77DD"/>
    <w:rsid w:val="000B7EC9"/>
    <w:rsid w:val="000C05C5"/>
    <w:rsid w:val="000C0874"/>
    <w:rsid w:val="000C094F"/>
    <w:rsid w:val="000C0F33"/>
    <w:rsid w:val="000C10BE"/>
    <w:rsid w:val="000C3A26"/>
    <w:rsid w:val="000C447E"/>
    <w:rsid w:val="000C4705"/>
    <w:rsid w:val="000C4CE3"/>
    <w:rsid w:val="000C553E"/>
    <w:rsid w:val="000C5A14"/>
    <w:rsid w:val="000C6E6C"/>
    <w:rsid w:val="000D0923"/>
    <w:rsid w:val="000D1A88"/>
    <w:rsid w:val="000D1E03"/>
    <w:rsid w:val="000D22EC"/>
    <w:rsid w:val="000D234B"/>
    <w:rsid w:val="000D3668"/>
    <w:rsid w:val="000D3854"/>
    <w:rsid w:val="000D4658"/>
    <w:rsid w:val="000D4A98"/>
    <w:rsid w:val="000D5DB1"/>
    <w:rsid w:val="000D64DB"/>
    <w:rsid w:val="000D7B59"/>
    <w:rsid w:val="000E031C"/>
    <w:rsid w:val="000E1C66"/>
    <w:rsid w:val="000E1C91"/>
    <w:rsid w:val="000E23D0"/>
    <w:rsid w:val="000E39FB"/>
    <w:rsid w:val="000E41C5"/>
    <w:rsid w:val="000E564B"/>
    <w:rsid w:val="000E60F8"/>
    <w:rsid w:val="000E65FF"/>
    <w:rsid w:val="000E75AE"/>
    <w:rsid w:val="000F0331"/>
    <w:rsid w:val="000F09B7"/>
    <w:rsid w:val="000F0A1D"/>
    <w:rsid w:val="000F1445"/>
    <w:rsid w:val="000F18FB"/>
    <w:rsid w:val="000F220A"/>
    <w:rsid w:val="000F2C29"/>
    <w:rsid w:val="000F32D2"/>
    <w:rsid w:val="000F3568"/>
    <w:rsid w:val="000F3927"/>
    <w:rsid w:val="000F3C1D"/>
    <w:rsid w:val="000F3CB8"/>
    <w:rsid w:val="000F4829"/>
    <w:rsid w:val="000F5011"/>
    <w:rsid w:val="000F59A7"/>
    <w:rsid w:val="000F5DE4"/>
    <w:rsid w:val="000F6696"/>
    <w:rsid w:val="000F66E4"/>
    <w:rsid w:val="000F6A23"/>
    <w:rsid w:val="000F738C"/>
    <w:rsid w:val="000F7CB7"/>
    <w:rsid w:val="000F7F23"/>
    <w:rsid w:val="00100A22"/>
    <w:rsid w:val="00101065"/>
    <w:rsid w:val="00101487"/>
    <w:rsid w:val="001015C9"/>
    <w:rsid w:val="00101BB8"/>
    <w:rsid w:val="00101BD3"/>
    <w:rsid w:val="00102F8A"/>
    <w:rsid w:val="00102FF4"/>
    <w:rsid w:val="00103102"/>
    <w:rsid w:val="0010458E"/>
    <w:rsid w:val="001046F5"/>
    <w:rsid w:val="00104962"/>
    <w:rsid w:val="00105D0A"/>
    <w:rsid w:val="00105FD5"/>
    <w:rsid w:val="001060A8"/>
    <w:rsid w:val="001066B3"/>
    <w:rsid w:val="00107001"/>
    <w:rsid w:val="00107489"/>
    <w:rsid w:val="001075BF"/>
    <w:rsid w:val="00107A21"/>
    <w:rsid w:val="00107C13"/>
    <w:rsid w:val="001100A4"/>
    <w:rsid w:val="00110602"/>
    <w:rsid w:val="00110E36"/>
    <w:rsid w:val="00110E7C"/>
    <w:rsid w:val="001110E8"/>
    <w:rsid w:val="001116E6"/>
    <w:rsid w:val="00111AF0"/>
    <w:rsid w:val="00113678"/>
    <w:rsid w:val="001150B7"/>
    <w:rsid w:val="00116035"/>
    <w:rsid w:val="00116A4A"/>
    <w:rsid w:val="00116B71"/>
    <w:rsid w:val="00116D9E"/>
    <w:rsid w:val="0011730D"/>
    <w:rsid w:val="001175D8"/>
    <w:rsid w:val="00117779"/>
    <w:rsid w:val="00120192"/>
    <w:rsid w:val="00121701"/>
    <w:rsid w:val="00121790"/>
    <w:rsid w:val="00122992"/>
    <w:rsid w:val="00122EA6"/>
    <w:rsid w:val="001241F9"/>
    <w:rsid w:val="00124E95"/>
    <w:rsid w:val="001251A1"/>
    <w:rsid w:val="0012541A"/>
    <w:rsid w:val="00125D81"/>
    <w:rsid w:val="00126DBC"/>
    <w:rsid w:val="001278CE"/>
    <w:rsid w:val="00131065"/>
    <w:rsid w:val="001317DA"/>
    <w:rsid w:val="00131909"/>
    <w:rsid w:val="001325E2"/>
    <w:rsid w:val="00133EF8"/>
    <w:rsid w:val="001347C8"/>
    <w:rsid w:val="00134C53"/>
    <w:rsid w:val="0013500E"/>
    <w:rsid w:val="00135095"/>
    <w:rsid w:val="00135731"/>
    <w:rsid w:val="00135C64"/>
    <w:rsid w:val="001366A5"/>
    <w:rsid w:val="00137357"/>
    <w:rsid w:val="0013785D"/>
    <w:rsid w:val="00137CE2"/>
    <w:rsid w:val="0014124C"/>
    <w:rsid w:val="0014148F"/>
    <w:rsid w:val="00142008"/>
    <w:rsid w:val="00143619"/>
    <w:rsid w:val="00143FDE"/>
    <w:rsid w:val="001440F9"/>
    <w:rsid w:val="0014535E"/>
    <w:rsid w:val="0014635B"/>
    <w:rsid w:val="001475D4"/>
    <w:rsid w:val="00150301"/>
    <w:rsid w:val="001505B6"/>
    <w:rsid w:val="00151355"/>
    <w:rsid w:val="001518C4"/>
    <w:rsid w:val="00151C1D"/>
    <w:rsid w:val="00152348"/>
    <w:rsid w:val="00152D62"/>
    <w:rsid w:val="00153056"/>
    <w:rsid w:val="001534E2"/>
    <w:rsid w:val="00153501"/>
    <w:rsid w:val="001537D8"/>
    <w:rsid w:val="00153D31"/>
    <w:rsid w:val="001543A1"/>
    <w:rsid w:val="00154CA5"/>
    <w:rsid w:val="001554B9"/>
    <w:rsid w:val="00155578"/>
    <w:rsid w:val="001556AC"/>
    <w:rsid w:val="001577E4"/>
    <w:rsid w:val="00157A3D"/>
    <w:rsid w:val="00160558"/>
    <w:rsid w:val="00160D12"/>
    <w:rsid w:val="00160F4D"/>
    <w:rsid w:val="0016112C"/>
    <w:rsid w:val="0016164C"/>
    <w:rsid w:val="0016178B"/>
    <w:rsid w:val="00162088"/>
    <w:rsid w:val="00162164"/>
    <w:rsid w:val="0016368F"/>
    <w:rsid w:val="00164A06"/>
    <w:rsid w:val="00165307"/>
    <w:rsid w:val="00165AEF"/>
    <w:rsid w:val="001667F7"/>
    <w:rsid w:val="001675F7"/>
    <w:rsid w:val="0016776F"/>
    <w:rsid w:val="00167DC6"/>
    <w:rsid w:val="001704AE"/>
    <w:rsid w:val="001706D8"/>
    <w:rsid w:val="0017130F"/>
    <w:rsid w:val="00172428"/>
    <w:rsid w:val="00172A27"/>
    <w:rsid w:val="00172E01"/>
    <w:rsid w:val="001738BB"/>
    <w:rsid w:val="00174A6E"/>
    <w:rsid w:val="00174F3C"/>
    <w:rsid w:val="0017575B"/>
    <w:rsid w:val="00175CFB"/>
    <w:rsid w:val="00176594"/>
    <w:rsid w:val="00176B16"/>
    <w:rsid w:val="00176CB6"/>
    <w:rsid w:val="00176DA4"/>
    <w:rsid w:val="00177A62"/>
    <w:rsid w:val="00177D11"/>
    <w:rsid w:val="001802D0"/>
    <w:rsid w:val="00180763"/>
    <w:rsid w:val="00180D20"/>
    <w:rsid w:val="00181533"/>
    <w:rsid w:val="001815D5"/>
    <w:rsid w:val="00181DF8"/>
    <w:rsid w:val="00182681"/>
    <w:rsid w:val="001832D2"/>
    <w:rsid w:val="00183553"/>
    <w:rsid w:val="00183C2E"/>
    <w:rsid w:val="001845A8"/>
    <w:rsid w:val="00184795"/>
    <w:rsid w:val="00184AA5"/>
    <w:rsid w:val="00185235"/>
    <w:rsid w:val="001859AA"/>
    <w:rsid w:val="00185B68"/>
    <w:rsid w:val="00185E3E"/>
    <w:rsid w:val="00186AC0"/>
    <w:rsid w:val="00187B33"/>
    <w:rsid w:val="00190B7F"/>
    <w:rsid w:val="00191773"/>
    <w:rsid w:val="00192154"/>
    <w:rsid w:val="00193535"/>
    <w:rsid w:val="001962AA"/>
    <w:rsid w:val="00196FE5"/>
    <w:rsid w:val="00197247"/>
    <w:rsid w:val="001A06F1"/>
    <w:rsid w:val="001A0CFD"/>
    <w:rsid w:val="001A0D27"/>
    <w:rsid w:val="001A1137"/>
    <w:rsid w:val="001A1559"/>
    <w:rsid w:val="001A16EE"/>
    <w:rsid w:val="001A19CD"/>
    <w:rsid w:val="001A1DCE"/>
    <w:rsid w:val="001A3195"/>
    <w:rsid w:val="001A3B3F"/>
    <w:rsid w:val="001A3F54"/>
    <w:rsid w:val="001A4024"/>
    <w:rsid w:val="001A4BE2"/>
    <w:rsid w:val="001A4CAB"/>
    <w:rsid w:val="001A515C"/>
    <w:rsid w:val="001A5915"/>
    <w:rsid w:val="001A5A84"/>
    <w:rsid w:val="001A6338"/>
    <w:rsid w:val="001A65D0"/>
    <w:rsid w:val="001A6F4D"/>
    <w:rsid w:val="001A74B5"/>
    <w:rsid w:val="001A778B"/>
    <w:rsid w:val="001A7D86"/>
    <w:rsid w:val="001B1A4F"/>
    <w:rsid w:val="001B247F"/>
    <w:rsid w:val="001B280B"/>
    <w:rsid w:val="001B29AF"/>
    <w:rsid w:val="001B2F1A"/>
    <w:rsid w:val="001B31E5"/>
    <w:rsid w:val="001B3337"/>
    <w:rsid w:val="001B4DF0"/>
    <w:rsid w:val="001B5CF7"/>
    <w:rsid w:val="001B6952"/>
    <w:rsid w:val="001B740B"/>
    <w:rsid w:val="001B77A2"/>
    <w:rsid w:val="001B79CD"/>
    <w:rsid w:val="001B7D4B"/>
    <w:rsid w:val="001C0395"/>
    <w:rsid w:val="001C0D12"/>
    <w:rsid w:val="001C0D4D"/>
    <w:rsid w:val="001C1F85"/>
    <w:rsid w:val="001C30F5"/>
    <w:rsid w:val="001C39E1"/>
    <w:rsid w:val="001C3ADB"/>
    <w:rsid w:val="001C4023"/>
    <w:rsid w:val="001C6C4F"/>
    <w:rsid w:val="001C72D8"/>
    <w:rsid w:val="001C7B7B"/>
    <w:rsid w:val="001D0CF1"/>
    <w:rsid w:val="001D11E8"/>
    <w:rsid w:val="001D24C3"/>
    <w:rsid w:val="001D2F1E"/>
    <w:rsid w:val="001D326C"/>
    <w:rsid w:val="001D38CD"/>
    <w:rsid w:val="001D4C95"/>
    <w:rsid w:val="001D5325"/>
    <w:rsid w:val="001D6FCD"/>
    <w:rsid w:val="001D7476"/>
    <w:rsid w:val="001D7E5C"/>
    <w:rsid w:val="001E01EE"/>
    <w:rsid w:val="001E0550"/>
    <w:rsid w:val="001E0C07"/>
    <w:rsid w:val="001E0CD3"/>
    <w:rsid w:val="001E1482"/>
    <w:rsid w:val="001E2138"/>
    <w:rsid w:val="001E271E"/>
    <w:rsid w:val="001E2A87"/>
    <w:rsid w:val="001E4385"/>
    <w:rsid w:val="001E45ED"/>
    <w:rsid w:val="001E462D"/>
    <w:rsid w:val="001E4D48"/>
    <w:rsid w:val="001E50A6"/>
    <w:rsid w:val="001E52D8"/>
    <w:rsid w:val="001E6335"/>
    <w:rsid w:val="001E6E0F"/>
    <w:rsid w:val="001E723B"/>
    <w:rsid w:val="001E7360"/>
    <w:rsid w:val="001E7604"/>
    <w:rsid w:val="001E79DD"/>
    <w:rsid w:val="001F0ECB"/>
    <w:rsid w:val="001F1020"/>
    <w:rsid w:val="001F1589"/>
    <w:rsid w:val="001F165D"/>
    <w:rsid w:val="001F17EA"/>
    <w:rsid w:val="001F1E02"/>
    <w:rsid w:val="001F202E"/>
    <w:rsid w:val="001F2ABE"/>
    <w:rsid w:val="001F2BAA"/>
    <w:rsid w:val="001F31F0"/>
    <w:rsid w:val="001F4180"/>
    <w:rsid w:val="001F483A"/>
    <w:rsid w:val="001F62C6"/>
    <w:rsid w:val="001F6C44"/>
    <w:rsid w:val="001F6EF7"/>
    <w:rsid w:val="001F785F"/>
    <w:rsid w:val="001F79B7"/>
    <w:rsid w:val="002015E9"/>
    <w:rsid w:val="00201963"/>
    <w:rsid w:val="00201C59"/>
    <w:rsid w:val="00201F23"/>
    <w:rsid w:val="00202CAC"/>
    <w:rsid w:val="00203FA0"/>
    <w:rsid w:val="002053A1"/>
    <w:rsid w:val="00207307"/>
    <w:rsid w:val="00207B70"/>
    <w:rsid w:val="00210A81"/>
    <w:rsid w:val="00210B80"/>
    <w:rsid w:val="00211992"/>
    <w:rsid w:val="00212659"/>
    <w:rsid w:val="00212833"/>
    <w:rsid w:val="00212ADE"/>
    <w:rsid w:val="002133A7"/>
    <w:rsid w:val="00213EDF"/>
    <w:rsid w:val="0021410C"/>
    <w:rsid w:val="00214EB8"/>
    <w:rsid w:val="00214FD4"/>
    <w:rsid w:val="002155FA"/>
    <w:rsid w:val="00215903"/>
    <w:rsid w:val="00215EF6"/>
    <w:rsid w:val="0021608D"/>
    <w:rsid w:val="0021643D"/>
    <w:rsid w:val="00216AB0"/>
    <w:rsid w:val="002178CD"/>
    <w:rsid w:val="00217A7C"/>
    <w:rsid w:val="002201EA"/>
    <w:rsid w:val="002208F1"/>
    <w:rsid w:val="00220A82"/>
    <w:rsid w:val="00221794"/>
    <w:rsid w:val="00221E34"/>
    <w:rsid w:val="00221F67"/>
    <w:rsid w:val="00222D00"/>
    <w:rsid w:val="00222D7F"/>
    <w:rsid w:val="002232B6"/>
    <w:rsid w:val="00224091"/>
    <w:rsid w:val="00224470"/>
    <w:rsid w:val="002247F1"/>
    <w:rsid w:val="00224A7D"/>
    <w:rsid w:val="00224E3E"/>
    <w:rsid w:val="00225560"/>
    <w:rsid w:val="00227015"/>
    <w:rsid w:val="002270EA"/>
    <w:rsid w:val="00227807"/>
    <w:rsid w:val="002301B1"/>
    <w:rsid w:val="00230C6E"/>
    <w:rsid w:val="002319FF"/>
    <w:rsid w:val="0023224E"/>
    <w:rsid w:val="0023229E"/>
    <w:rsid w:val="00232437"/>
    <w:rsid w:val="002335C8"/>
    <w:rsid w:val="00233AA8"/>
    <w:rsid w:val="00233BAA"/>
    <w:rsid w:val="00233BF8"/>
    <w:rsid w:val="00233E2C"/>
    <w:rsid w:val="00234473"/>
    <w:rsid w:val="0023626C"/>
    <w:rsid w:val="0023638C"/>
    <w:rsid w:val="0023664F"/>
    <w:rsid w:val="0023672C"/>
    <w:rsid w:val="00236D9B"/>
    <w:rsid w:val="00237EDC"/>
    <w:rsid w:val="002403B9"/>
    <w:rsid w:val="002420B0"/>
    <w:rsid w:val="00242591"/>
    <w:rsid w:val="002426BC"/>
    <w:rsid w:val="00242CAE"/>
    <w:rsid w:val="00243901"/>
    <w:rsid w:val="00243A77"/>
    <w:rsid w:val="00243B4F"/>
    <w:rsid w:val="00243CEF"/>
    <w:rsid w:val="0024422B"/>
    <w:rsid w:val="00244F54"/>
    <w:rsid w:val="002450A7"/>
    <w:rsid w:val="0024512C"/>
    <w:rsid w:val="00245398"/>
    <w:rsid w:val="002455D0"/>
    <w:rsid w:val="00245792"/>
    <w:rsid w:val="00245AF2"/>
    <w:rsid w:val="00245F44"/>
    <w:rsid w:val="002469C6"/>
    <w:rsid w:val="00246AA4"/>
    <w:rsid w:val="00247390"/>
    <w:rsid w:val="00247BE2"/>
    <w:rsid w:val="00251119"/>
    <w:rsid w:val="00251AEC"/>
    <w:rsid w:val="002521AE"/>
    <w:rsid w:val="002525D0"/>
    <w:rsid w:val="00252955"/>
    <w:rsid w:val="002539C5"/>
    <w:rsid w:val="00253B73"/>
    <w:rsid w:val="00254C09"/>
    <w:rsid w:val="0025509B"/>
    <w:rsid w:val="00255ABC"/>
    <w:rsid w:val="00255C60"/>
    <w:rsid w:val="00255D05"/>
    <w:rsid w:val="00255E59"/>
    <w:rsid w:val="002570EF"/>
    <w:rsid w:val="00257D2F"/>
    <w:rsid w:val="00257E7F"/>
    <w:rsid w:val="002605D9"/>
    <w:rsid w:val="00260A2D"/>
    <w:rsid w:val="00260CFC"/>
    <w:rsid w:val="00261647"/>
    <w:rsid w:val="00261B06"/>
    <w:rsid w:val="00262281"/>
    <w:rsid w:val="0026273C"/>
    <w:rsid w:val="002629D0"/>
    <w:rsid w:val="00263640"/>
    <w:rsid w:val="00263E20"/>
    <w:rsid w:val="00263F04"/>
    <w:rsid w:val="00263F91"/>
    <w:rsid w:val="00264D11"/>
    <w:rsid w:val="00265464"/>
    <w:rsid w:val="002663AA"/>
    <w:rsid w:val="00266E04"/>
    <w:rsid w:val="00267ACC"/>
    <w:rsid w:val="00267CB2"/>
    <w:rsid w:val="0027072D"/>
    <w:rsid w:val="0027088E"/>
    <w:rsid w:val="00271F58"/>
    <w:rsid w:val="002730C4"/>
    <w:rsid w:val="00273129"/>
    <w:rsid w:val="00273809"/>
    <w:rsid w:val="002746DE"/>
    <w:rsid w:val="002746E5"/>
    <w:rsid w:val="00274A78"/>
    <w:rsid w:val="00275192"/>
    <w:rsid w:val="0027781C"/>
    <w:rsid w:val="002805C1"/>
    <w:rsid w:val="00280781"/>
    <w:rsid w:val="00280DEE"/>
    <w:rsid w:val="00281803"/>
    <w:rsid w:val="00281A88"/>
    <w:rsid w:val="00281F70"/>
    <w:rsid w:val="002831A1"/>
    <w:rsid w:val="002831CA"/>
    <w:rsid w:val="00285642"/>
    <w:rsid w:val="002860C2"/>
    <w:rsid w:val="002867C3"/>
    <w:rsid w:val="00287B6F"/>
    <w:rsid w:val="00287D74"/>
    <w:rsid w:val="002904E9"/>
    <w:rsid w:val="00291BD6"/>
    <w:rsid w:val="00291BDD"/>
    <w:rsid w:val="00293F5A"/>
    <w:rsid w:val="00293F82"/>
    <w:rsid w:val="0029401A"/>
    <w:rsid w:val="0029411E"/>
    <w:rsid w:val="0029448F"/>
    <w:rsid w:val="002946B6"/>
    <w:rsid w:val="0029578B"/>
    <w:rsid w:val="002958C4"/>
    <w:rsid w:val="00295AB8"/>
    <w:rsid w:val="002966D2"/>
    <w:rsid w:val="00297239"/>
    <w:rsid w:val="002A1D0C"/>
    <w:rsid w:val="002A2900"/>
    <w:rsid w:val="002A2F4E"/>
    <w:rsid w:val="002A36E1"/>
    <w:rsid w:val="002A48BB"/>
    <w:rsid w:val="002A49A9"/>
    <w:rsid w:val="002A5487"/>
    <w:rsid w:val="002A60F7"/>
    <w:rsid w:val="002A63C2"/>
    <w:rsid w:val="002A65A6"/>
    <w:rsid w:val="002A6E0C"/>
    <w:rsid w:val="002A6F1A"/>
    <w:rsid w:val="002A7E82"/>
    <w:rsid w:val="002B0892"/>
    <w:rsid w:val="002B23A1"/>
    <w:rsid w:val="002B336E"/>
    <w:rsid w:val="002B3EC0"/>
    <w:rsid w:val="002B3FFE"/>
    <w:rsid w:val="002B4181"/>
    <w:rsid w:val="002B49E1"/>
    <w:rsid w:val="002B5BEF"/>
    <w:rsid w:val="002B70DA"/>
    <w:rsid w:val="002B72A6"/>
    <w:rsid w:val="002B7F30"/>
    <w:rsid w:val="002C1316"/>
    <w:rsid w:val="002C19ED"/>
    <w:rsid w:val="002C1B13"/>
    <w:rsid w:val="002C3228"/>
    <w:rsid w:val="002C3343"/>
    <w:rsid w:val="002C34D7"/>
    <w:rsid w:val="002C3524"/>
    <w:rsid w:val="002C3D02"/>
    <w:rsid w:val="002C3FC6"/>
    <w:rsid w:val="002C4520"/>
    <w:rsid w:val="002C5857"/>
    <w:rsid w:val="002C59A4"/>
    <w:rsid w:val="002C5C7A"/>
    <w:rsid w:val="002C5F99"/>
    <w:rsid w:val="002C66C7"/>
    <w:rsid w:val="002C7655"/>
    <w:rsid w:val="002D00D8"/>
    <w:rsid w:val="002D0628"/>
    <w:rsid w:val="002D1091"/>
    <w:rsid w:val="002D16B6"/>
    <w:rsid w:val="002D1AFF"/>
    <w:rsid w:val="002D2737"/>
    <w:rsid w:val="002D317F"/>
    <w:rsid w:val="002D364E"/>
    <w:rsid w:val="002D5D1E"/>
    <w:rsid w:val="002D5D50"/>
    <w:rsid w:val="002D5ED6"/>
    <w:rsid w:val="002D63F1"/>
    <w:rsid w:val="002D640A"/>
    <w:rsid w:val="002D6C8A"/>
    <w:rsid w:val="002D6DC7"/>
    <w:rsid w:val="002D7017"/>
    <w:rsid w:val="002D7362"/>
    <w:rsid w:val="002D7A1D"/>
    <w:rsid w:val="002D7C77"/>
    <w:rsid w:val="002E0D2D"/>
    <w:rsid w:val="002E131A"/>
    <w:rsid w:val="002E14FE"/>
    <w:rsid w:val="002E1711"/>
    <w:rsid w:val="002E22D0"/>
    <w:rsid w:val="002E3172"/>
    <w:rsid w:val="002E414F"/>
    <w:rsid w:val="002E4A45"/>
    <w:rsid w:val="002E4DCF"/>
    <w:rsid w:val="002E5426"/>
    <w:rsid w:val="002E5E72"/>
    <w:rsid w:val="002E5FAB"/>
    <w:rsid w:val="002E64C8"/>
    <w:rsid w:val="002E6784"/>
    <w:rsid w:val="002E6C8C"/>
    <w:rsid w:val="002E7824"/>
    <w:rsid w:val="002E785B"/>
    <w:rsid w:val="002E7F19"/>
    <w:rsid w:val="002F037E"/>
    <w:rsid w:val="002F1CCE"/>
    <w:rsid w:val="002F25FD"/>
    <w:rsid w:val="002F2707"/>
    <w:rsid w:val="002F3037"/>
    <w:rsid w:val="002F343B"/>
    <w:rsid w:val="002F4FBB"/>
    <w:rsid w:val="002F5078"/>
    <w:rsid w:val="002F5E2B"/>
    <w:rsid w:val="002F73CA"/>
    <w:rsid w:val="002F76F0"/>
    <w:rsid w:val="002F7766"/>
    <w:rsid w:val="003002F6"/>
    <w:rsid w:val="00300826"/>
    <w:rsid w:val="00300BBA"/>
    <w:rsid w:val="00301263"/>
    <w:rsid w:val="0030189E"/>
    <w:rsid w:val="00302312"/>
    <w:rsid w:val="0030594E"/>
    <w:rsid w:val="00306033"/>
    <w:rsid w:val="00306DE7"/>
    <w:rsid w:val="00307711"/>
    <w:rsid w:val="00310087"/>
    <w:rsid w:val="0031054B"/>
    <w:rsid w:val="00310FD1"/>
    <w:rsid w:val="00311691"/>
    <w:rsid w:val="00311ACF"/>
    <w:rsid w:val="003123FD"/>
    <w:rsid w:val="00312AEB"/>
    <w:rsid w:val="00314842"/>
    <w:rsid w:val="00314E63"/>
    <w:rsid w:val="00315183"/>
    <w:rsid w:val="00315E66"/>
    <w:rsid w:val="00316096"/>
    <w:rsid w:val="003163A3"/>
    <w:rsid w:val="003163F4"/>
    <w:rsid w:val="00316A09"/>
    <w:rsid w:val="00316C85"/>
    <w:rsid w:val="00317911"/>
    <w:rsid w:val="00317F1E"/>
    <w:rsid w:val="00321B0A"/>
    <w:rsid w:val="00322311"/>
    <w:rsid w:val="0032249B"/>
    <w:rsid w:val="00322F26"/>
    <w:rsid w:val="0032316C"/>
    <w:rsid w:val="00323EF4"/>
    <w:rsid w:val="00324A8D"/>
    <w:rsid w:val="003254D4"/>
    <w:rsid w:val="00325539"/>
    <w:rsid w:val="00325757"/>
    <w:rsid w:val="0032581E"/>
    <w:rsid w:val="0032625D"/>
    <w:rsid w:val="003268A4"/>
    <w:rsid w:val="00327052"/>
    <w:rsid w:val="00327226"/>
    <w:rsid w:val="00330039"/>
    <w:rsid w:val="00330133"/>
    <w:rsid w:val="00330271"/>
    <w:rsid w:val="0033043A"/>
    <w:rsid w:val="00331A41"/>
    <w:rsid w:val="00331B1D"/>
    <w:rsid w:val="0033262D"/>
    <w:rsid w:val="00332B15"/>
    <w:rsid w:val="00332D31"/>
    <w:rsid w:val="00333439"/>
    <w:rsid w:val="003335C1"/>
    <w:rsid w:val="00333C86"/>
    <w:rsid w:val="00334402"/>
    <w:rsid w:val="00334A93"/>
    <w:rsid w:val="00334E84"/>
    <w:rsid w:val="00335408"/>
    <w:rsid w:val="003356E6"/>
    <w:rsid w:val="0033644C"/>
    <w:rsid w:val="00336DD2"/>
    <w:rsid w:val="00336E8A"/>
    <w:rsid w:val="00337C85"/>
    <w:rsid w:val="00340BF8"/>
    <w:rsid w:val="00340F1C"/>
    <w:rsid w:val="0034170A"/>
    <w:rsid w:val="0034339A"/>
    <w:rsid w:val="003434F0"/>
    <w:rsid w:val="003435B3"/>
    <w:rsid w:val="0034485F"/>
    <w:rsid w:val="00345163"/>
    <w:rsid w:val="003454D4"/>
    <w:rsid w:val="0034606C"/>
    <w:rsid w:val="003467E2"/>
    <w:rsid w:val="00347429"/>
    <w:rsid w:val="0034755A"/>
    <w:rsid w:val="00347A06"/>
    <w:rsid w:val="00347BDB"/>
    <w:rsid w:val="00347C4A"/>
    <w:rsid w:val="00347CE7"/>
    <w:rsid w:val="00350B5A"/>
    <w:rsid w:val="00350B9F"/>
    <w:rsid w:val="00351679"/>
    <w:rsid w:val="0035350C"/>
    <w:rsid w:val="003537AB"/>
    <w:rsid w:val="00354553"/>
    <w:rsid w:val="00354DCA"/>
    <w:rsid w:val="00354F85"/>
    <w:rsid w:val="0035531C"/>
    <w:rsid w:val="00355324"/>
    <w:rsid w:val="00355EAC"/>
    <w:rsid w:val="003560C8"/>
    <w:rsid w:val="003561AB"/>
    <w:rsid w:val="0035649C"/>
    <w:rsid w:val="0035657F"/>
    <w:rsid w:val="00356F41"/>
    <w:rsid w:val="00360C5E"/>
    <w:rsid w:val="00360D48"/>
    <w:rsid w:val="003628A6"/>
    <w:rsid w:val="003637A3"/>
    <w:rsid w:val="00363D70"/>
    <w:rsid w:val="00363E1B"/>
    <w:rsid w:val="00364154"/>
    <w:rsid w:val="003644DF"/>
    <w:rsid w:val="003655A5"/>
    <w:rsid w:val="00365A6D"/>
    <w:rsid w:val="00365D5F"/>
    <w:rsid w:val="00366791"/>
    <w:rsid w:val="003667D7"/>
    <w:rsid w:val="003674E8"/>
    <w:rsid w:val="0037097B"/>
    <w:rsid w:val="00372211"/>
    <w:rsid w:val="00372A32"/>
    <w:rsid w:val="00372DA7"/>
    <w:rsid w:val="00372FD3"/>
    <w:rsid w:val="00373637"/>
    <w:rsid w:val="00373B3C"/>
    <w:rsid w:val="00374970"/>
    <w:rsid w:val="00374CFE"/>
    <w:rsid w:val="00374E89"/>
    <w:rsid w:val="00374EF5"/>
    <w:rsid w:val="0037537E"/>
    <w:rsid w:val="00376ECC"/>
    <w:rsid w:val="0037706C"/>
    <w:rsid w:val="003802E8"/>
    <w:rsid w:val="0038088C"/>
    <w:rsid w:val="00381F90"/>
    <w:rsid w:val="0038270F"/>
    <w:rsid w:val="003833EF"/>
    <w:rsid w:val="0038382A"/>
    <w:rsid w:val="00385929"/>
    <w:rsid w:val="00386AAF"/>
    <w:rsid w:val="00387858"/>
    <w:rsid w:val="00390525"/>
    <w:rsid w:val="00390791"/>
    <w:rsid w:val="00390B5B"/>
    <w:rsid w:val="003910FD"/>
    <w:rsid w:val="003911E5"/>
    <w:rsid w:val="00392608"/>
    <w:rsid w:val="003926D8"/>
    <w:rsid w:val="003927C9"/>
    <w:rsid w:val="003929F1"/>
    <w:rsid w:val="00392E36"/>
    <w:rsid w:val="003930C8"/>
    <w:rsid w:val="00393D3D"/>
    <w:rsid w:val="003940AE"/>
    <w:rsid w:val="00394262"/>
    <w:rsid w:val="00394323"/>
    <w:rsid w:val="00394954"/>
    <w:rsid w:val="00394D06"/>
    <w:rsid w:val="00395C45"/>
    <w:rsid w:val="003969AA"/>
    <w:rsid w:val="00396F58"/>
    <w:rsid w:val="00397947"/>
    <w:rsid w:val="003A1942"/>
    <w:rsid w:val="003A29B2"/>
    <w:rsid w:val="003A2B72"/>
    <w:rsid w:val="003A360B"/>
    <w:rsid w:val="003A3F30"/>
    <w:rsid w:val="003A48AD"/>
    <w:rsid w:val="003A4FC1"/>
    <w:rsid w:val="003A5DA7"/>
    <w:rsid w:val="003A69C6"/>
    <w:rsid w:val="003A6B56"/>
    <w:rsid w:val="003A7236"/>
    <w:rsid w:val="003A79F1"/>
    <w:rsid w:val="003A7E0B"/>
    <w:rsid w:val="003B0820"/>
    <w:rsid w:val="003B1A94"/>
    <w:rsid w:val="003B3136"/>
    <w:rsid w:val="003B366B"/>
    <w:rsid w:val="003B4095"/>
    <w:rsid w:val="003B4BDD"/>
    <w:rsid w:val="003B5388"/>
    <w:rsid w:val="003B5728"/>
    <w:rsid w:val="003B682D"/>
    <w:rsid w:val="003B786C"/>
    <w:rsid w:val="003C047C"/>
    <w:rsid w:val="003C2A2E"/>
    <w:rsid w:val="003C2DBC"/>
    <w:rsid w:val="003C3835"/>
    <w:rsid w:val="003C3B5F"/>
    <w:rsid w:val="003C429F"/>
    <w:rsid w:val="003C4835"/>
    <w:rsid w:val="003C651F"/>
    <w:rsid w:val="003C6A08"/>
    <w:rsid w:val="003C74C4"/>
    <w:rsid w:val="003C76CF"/>
    <w:rsid w:val="003D2355"/>
    <w:rsid w:val="003D2A8A"/>
    <w:rsid w:val="003D3494"/>
    <w:rsid w:val="003D58BA"/>
    <w:rsid w:val="003D5ED0"/>
    <w:rsid w:val="003D6704"/>
    <w:rsid w:val="003D710F"/>
    <w:rsid w:val="003D7542"/>
    <w:rsid w:val="003E0E6C"/>
    <w:rsid w:val="003E1F6E"/>
    <w:rsid w:val="003E23E3"/>
    <w:rsid w:val="003E2D4C"/>
    <w:rsid w:val="003E3518"/>
    <w:rsid w:val="003E3A57"/>
    <w:rsid w:val="003E3AE8"/>
    <w:rsid w:val="003E4123"/>
    <w:rsid w:val="003E47C4"/>
    <w:rsid w:val="003E47C7"/>
    <w:rsid w:val="003E577B"/>
    <w:rsid w:val="003E5837"/>
    <w:rsid w:val="003E6167"/>
    <w:rsid w:val="003E7806"/>
    <w:rsid w:val="003F0183"/>
    <w:rsid w:val="003F1941"/>
    <w:rsid w:val="003F1E9C"/>
    <w:rsid w:val="003F3829"/>
    <w:rsid w:val="003F3C2F"/>
    <w:rsid w:val="003F4AAC"/>
    <w:rsid w:val="003F512A"/>
    <w:rsid w:val="003F5347"/>
    <w:rsid w:val="003F601D"/>
    <w:rsid w:val="003F60F3"/>
    <w:rsid w:val="003F64A3"/>
    <w:rsid w:val="003F6531"/>
    <w:rsid w:val="003F7281"/>
    <w:rsid w:val="004006B4"/>
    <w:rsid w:val="004014D9"/>
    <w:rsid w:val="004020EC"/>
    <w:rsid w:val="00402C41"/>
    <w:rsid w:val="00403ECF"/>
    <w:rsid w:val="00404057"/>
    <w:rsid w:val="00404B01"/>
    <w:rsid w:val="00404B48"/>
    <w:rsid w:val="00404D32"/>
    <w:rsid w:val="00404DBD"/>
    <w:rsid w:val="0040527A"/>
    <w:rsid w:val="0040572C"/>
    <w:rsid w:val="0040591C"/>
    <w:rsid w:val="00405B53"/>
    <w:rsid w:val="00405E4E"/>
    <w:rsid w:val="00406095"/>
    <w:rsid w:val="0040652E"/>
    <w:rsid w:val="00407178"/>
    <w:rsid w:val="004103F4"/>
    <w:rsid w:val="004109FB"/>
    <w:rsid w:val="00410E88"/>
    <w:rsid w:val="004110B2"/>
    <w:rsid w:val="004117CB"/>
    <w:rsid w:val="00411E13"/>
    <w:rsid w:val="00411E9C"/>
    <w:rsid w:val="00411EE9"/>
    <w:rsid w:val="00412463"/>
    <w:rsid w:val="004128BB"/>
    <w:rsid w:val="00412ADA"/>
    <w:rsid w:val="00413A5F"/>
    <w:rsid w:val="0041408C"/>
    <w:rsid w:val="004140E0"/>
    <w:rsid w:val="00415513"/>
    <w:rsid w:val="0041634E"/>
    <w:rsid w:val="00416630"/>
    <w:rsid w:val="00416EFF"/>
    <w:rsid w:val="004172B0"/>
    <w:rsid w:val="00417564"/>
    <w:rsid w:val="00420C7F"/>
    <w:rsid w:val="00421205"/>
    <w:rsid w:val="00421CA1"/>
    <w:rsid w:val="00421F22"/>
    <w:rsid w:val="00422239"/>
    <w:rsid w:val="004235E1"/>
    <w:rsid w:val="00424033"/>
    <w:rsid w:val="0042427D"/>
    <w:rsid w:val="0042450D"/>
    <w:rsid w:val="00425DCA"/>
    <w:rsid w:val="00426496"/>
    <w:rsid w:val="00426707"/>
    <w:rsid w:val="00426A65"/>
    <w:rsid w:val="00426E13"/>
    <w:rsid w:val="00426E4E"/>
    <w:rsid w:val="004277B2"/>
    <w:rsid w:val="004313E7"/>
    <w:rsid w:val="004320B0"/>
    <w:rsid w:val="0043275B"/>
    <w:rsid w:val="00432B37"/>
    <w:rsid w:val="00432C07"/>
    <w:rsid w:val="00433FCC"/>
    <w:rsid w:val="00434744"/>
    <w:rsid w:val="004364C2"/>
    <w:rsid w:val="00436B2D"/>
    <w:rsid w:val="004378BC"/>
    <w:rsid w:val="00437EF8"/>
    <w:rsid w:val="0044150A"/>
    <w:rsid w:val="00441735"/>
    <w:rsid w:val="00441788"/>
    <w:rsid w:val="004421CF"/>
    <w:rsid w:val="00442B6F"/>
    <w:rsid w:val="00442D84"/>
    <w:rsid w:val="00443A6E"/>
    <w:rsid w:val="00444145"/>
    <w:rsid w:val="00445532"/>
    <w:rsid w:val="00445668"/>
    <w:rsid w:val="004457DF"/>
    <w:rsid w:val="00445E75"/>
    <w:rsid w:val="004475E3"/>
    <w:rsid w:val="0045057F"/>
    <w:rsid w:val="004507A4"/>
    <w:rsid w:val="00450F9D"/>
    <w:rsid w:val="0045139E"/>
    <w:rsid w:val="00451DDF"/>
    <w:rsid w:val="00451EBE"/>
    <w:rsid w:val="00452238"/>
    <w:rsid w:val="004523D6"/>
    <w:rsid w:val="0045249E"/>
    <w:rsid w:val="0045276F"/>
    <w:rsid w:val="004527D0"/>
    <w:rsid w:val="00452A4F"/>
    <w:rsid w:val="00452F00"/>
    <w:rsid w:val="0045302D"/>
    <w:rsid w:val="0045372E"/>
    <w:rsid w:val="004543AF"/>
    <w:rsid w:val="0045458A"/>
    <w:rsid w:val="00454AC0"/>
    <w:rsid w:val="00454DD1"/>
    <w:rsid w:val="004576D9"/>
    <w:rsid w:val="00457D1C"/>
    <w:rsid w:val="00457EBC"/>
    <w:rsid w:val="00457F8F"/>
    <w:rsid w:val="004606C2"/>
    <w:rsid w:val="00462C90"/>
    <w:rsid w:val="0046301F"/>
    <w:rsid w:val="00463350"/>
    <w:rsid w:val="00463589"/>
    <w:rsid w:val="004636FD"/>
    <w:rsid w:val="00463FB4"/>
    <w:rsid w:val="004659F9"/>
    <w:rsid w:val="004666A1"/>
    <w:rsid w:val="00466F95"/>
    <w:rsid w:val="00467685"/>
    <w:rsid w:val="00471150"/>
    <w:rsid w:val="004711AA"/>
    <w:rsid w:val="00471558"/>
    <w:rsid w:val="00471AE3"/>
    <w:rsid w:val="00472209"/>
    <w:rsid w:val="00475330"/>
    <w:rsid w:val="00475B9E"/>
    <w:rsid w:val="0047636C"/>
    <w:rsid w:val="00477729"/>
    <w:rsid w:val="00480082"/>
    <w:rsid w:val="0048148D"/>
    <w:rsid w:val="00481EB9"/>
    <w:rsid w:val="00482DCC"/>
    <w:rsid w:val="00482EE6"/>
    <w:rsid w:val="004831DE"/>
    <w:rsid w:val="004834A8"/>
    <w:rsid w:val="00484363"/>
    <w:rsid w:val="00484EA7"/>
    <w:rsid w:val="00485BA4"/>
    <w:rsid w:val="00485BC8"/>
    <w:rsid w:val="004873F9"/>
    <w:rsid w:val="004876DE"/>
    <w:rsid w:val="00487FCC"/>
    <w:rsid w:val="004908CF"/>
    <w:rsid w:val="00490B5D"/>
    <w:rsid w:val="00493EE7"/>
    <w:rsid w:val="0049469F"/>
    <w:rsid w:val="00494CA5"/>
    <w:rsid w:val="00494E9C"/>
    <w:rsid w:val="00496D48"/>
    <w:rsid w:val="00497361"/>
    <w:rsid w:val="00497382"/>
    <w:rsid w:val="004A04F6"/>
    <w:rsid w:val="004A14F4"/>
    <w:rsid w:val="004A3256"/>
    <w:rsid w:val="004A3840"/>
    <w:rsid w:val="004A39B6"/>
    <w:rsid w:val="004A3C5D"/>
    <w:rsid w:val="004A479F"/>
    <w:rsid w:val="004A5D0C"/>
    <w:rsid w:val="004A6C89"/>
    <w:rsid w:val="004A6FA5"/>
    <w:rsid w:val="004A7399"/>
    <w:rsid w:val="004A77C3"/>
    <w:rsid w:val="004A7D23"/>
    <w:rsid w:val="004B1D94"/>
    <w:rsid w:val="004B2F7D"/>
    <w:rsid w:val="004B30E8"/>
    <w:rsid w:val="004B3288"/>
    <w:rsid w:val="004B33AE"/>
    <w:rsid w:val="004B36B1"/>
    <w:rsid w:val="004B44DF"/>
    <w:rsid w:val="004B47B5"/>
    <w:rsid w:val="004B4CB7"/>
    <w:rsid w:val="004B4DA4"/>
    <w:rsid w:val="004B5635"/>
    <w:rsid w:val="004B5970"/>
    <w:rsid w:val="004B730F"/>
    <w:rsid w:val="004B7687"/>
    <w:rsid w:val="004B7CF8"/>
    <w:rsid w:val="004C044A"/>
    <w:rsid w:val="004C11C2"/>
    <w:rsid w:val="004C1DE8"/>
    <w:rsid w:val="004C2009"/>
    <w:rsid w:val="004C2574"/>
    <w:rsid w:val="004C4086"/>
    <w:rsid w:val="004C4A3D"/>
    <w:rsid w:val="004C5059"/>
    <w:rsid w:val="004C54C8"/>
    <w:rsid w:val="004C5AD8"/>
    <w:rsid w:val="004C6933"/>
    <w:rsid w:val="004C7198"/>
    <w:rsid w:val="004C77E5"/>
    <w:rsid w:val="004D0079"/>
    <w:rsid w:val="004D041B"/>
    <w:rsid w:val="004D2607"/>
    <w:rsid w:val="004D2A03"/>
    <w:rsid w:val="004D31B1"/>
    <w:rsid w:val="004D33D4"/>
    <w:rsid w:val="004D34D5"/>
    <w:rsid w:val="004D36F2"/>
    <w:rsid w:val="004D3863"/>
    <w:rsid w:val="004D4EF1"/>
    <w:rsid w:val="004D554B"/>
    <w:rsid w:val="004D5AC9"/>
    <w:rsid w:val="004D67A7"/>
    <w:rsid w:val="004D72FE"/>
    <w:rsid w:val="004D7656"/>
    <w:rsid w:val="004D7E66"/>
    <w:rsid w:val="004E055B"/>
    <w:rsid w:val="004E0610"/>
    <w:rsid w:val="004E0ADF"/>
    <w:rsid w:val="004E13CB"/>
    <w:rsid w:val="004E1433"/>
    <w:rsid w:val="004E2C9A"/>
    <w:rsid w:val="004E2FAD"/>
    <w:rsid w:val="004E3A1F"/>
    <w:rsid w:val="004E3D61"/>
    <w:rsid w:val="004E42C6"/>
    <w:rsid w:val="004E43F5"/>
    <w:rsid w:val="004E455E"/>
    <w:rsid w:val="004E4AC6"/>
    <w:rsid w:val="004E4BB8"/>
    <w:rsid w:val="004E569D"/>
    <w:rsid w:val="004E5ABE"/>
    <w:rsid w:val="004E66E4"/>
    <w:rsid w:val="004E7118"/>
    <w:rsid w:val="004E7EC1"/>
    <w:rsid w:val="004E7FDC"/>
    <w:rsid w:val="004F0413"/>
    <w:rsid w:val="004F0A73"/>
    <w:rsid w:val="004F0B9E"/>
    <w:rsid w:val="004F0C82"/>
    <w:rsid w:val="004F1B0F"/>
    <w:rsid w:val="004F1C25"/>
    <w:rsid w:val="004F1EB7"/>
    <w:rsid w:val="004F2FF1"/>
    <w:rsid w:val="004F3111"/>
    <w:rsid w:val="004F3477"/>
    <w:rsid w:val="004F34DD"/>
    <w:rsid w:val="004F3FC2"/>
    <w:rsid w:val="004F42F2"/>
    <w:rsid w:val="004F489D"/>
    <w:rsid w:val="004F583B"/>
    <w:rsid w:val="004F5D49"/>
    <w:rsid w:val="004F6AE0"/>
    <w:rsid w:val="004F6B48"/>
    <w:rsid w:val="004F6C3B"/>
    <w:rsid w:val="004F6EFF"/>
    <w:rsid w:val="004F6FBB"/>
    <w:rsid w:val="004F7FE0"/>
    <w:rsid w:val="00501096"/>
    <w:rsid w:val="00501F3E"/>
    <w:rsid w:val="00502037"/>
    <w:rsid w:val="0050298B"/>
    <w:rsid w:val="005040A6"/>
    <w:rsid w:val="00504CB1"/>
    <w:rsid w:val="00505F06"/>
    <w:rsid w:val="00505F9F"/>
    <w:rsid w:val="00506E90"/>
    <w:rsid w:val="00506FF2"/>
    <w:rsid w:val="005071D3"/>
    <w:rsid w:val="005072E3"/>
    <w:rsid w:val="005116B7"/>
    <w:rsid w:val="00511800"/>
    <w:rsid w:val="00511BF6"/>
    <w:rsid w:val="0051232F"/>
    <w:rsid w:val="0051335E"/>
    <w:rsid w:val="00514286"/>
    <w:rsid w:val="005146AB"/>
    <w:rsid w:val="00514A34"/>
    <w:rsid w:val="00515036"/>
    <w:rsid w:val="005163C6"/>
    <w:rsid w:val="00516664"/>
    <w:rsid w:val="00516B78"/>
    <w:rsid w:val="00516BB6"/>
    <w:rsid w:val="00517B90"/>
    <w:rsid w:val="005213D3"/>
    <w:rsid w:val="00522B42"/>
    <w:rsid w:val="00523698"/>
    <w:rsid w:val="00524968"/>
    <w:rsid w:val="00525001"/>
    <w:rsid w:val="0052527F"/>
    <w:rsid w:val="005264BB"/>
    <w:rsid w:val="0052753A"/>
    <w:rsid w:val="005276A7"/>
    <w:rsid w:val="00527D1D"/>
    <w:rsid w:val="00527D76"/>
    <w:rsid w:val="00527EBF"/>
    <w:rsid w:val="00530017"/>
    <w:rsid w:val="00530C35"/>
    <w:rsid w:val="00530E05"/>
    <w:rsid w:val="00531250"/>
    <w:rsid w:val="00532974"/>
    <w:rsid w:val="00533199"/>
    <w:rsid w:val="0053335B"/>
    <w:rsid w:val="005333CC"/>
    <w:rsid w:val="00533B88"/>
    <w:rsid w:val="00533D2A"/>
    <w:rsid w:val="005360AF"/>
    <w:rsid w:val="00536524"/>
    <w:rsid w:val="00536881"/>
    <w:rsid w:val="00537258"/>
    <w:rsid w:val="005375FC"/>
    <w:rsid w:val="005379A5"/>
    <w:rsid w:val="00537B9B"/>
    <w:rsid w:val="00540457"/>
    <w:rsid w:val="005410B5"/>
    <w:rsid w:val="005411A8"/>
    <w:rsid w:val="00541276"/>
    <w:rsid w:val="005420F5"/>
    <w:rsid w:val="00542438"/>
    <w:rsid w:val="00543199"/>
    <w:rsid w:val="00543FE3"/>
    <w:rsid w:val="005447F0"/>
    <w:rsid w:val="005462B2"/>
    <w:rsid w:val="005466D0"/>
    <w:rsid w:val="00547412"/>
    <w:rsid w:val="0055087B"/>
    <w:rsid w:val="00550B84"/>
    <w:rsid w:val="005511E4"/>
    <w:rsid w:val="005529DE"/>
    <w:rsid w:val="00552B5A"/>
    <w:rsid w:val="00553579"/>
    <w:rsid w:val="005535F8"/>
    <w:rsid w:val="00553633"/>
    <w:rsid w:val="00553744"/>
    <w:rsid w:val="00553C12"/>
    <w:rsid w:val="00553DD6"/>
    <w:rsid w:val="00554EA6"/>
    <w:rsid w:val="00555D22"/>
    <w:rsid w:val="00555F3F"/>
    <w:rsid w:val="00556A58"/>
    <w:rsid w:val="00557D5C"/>
    <w:rsid w:val="00557D6B"/>
    <w:rsid w:val="00557F44"/>
    <w:rsid w:val="00561B0E"/>
    <w:rsid w:val="00562317"/>
    <w:rsid w:val="00562425"/>
    <w:rsid w:val="0056317B"/>
    <w:rsid w:val="0056338A"/>
    <w:rsid w:val="00563717"/>
    <w:rsid w:val="00563D95"/>
    <w:rsid w:val="00564F91"/>
    <w:rsid w:val="00565041"/>
    <w:rsid w:val="005650C6"/>
    <w:rsid w:val="00565852"/>
    <w:rsid w:val="00565A38"/>
    <w:rsid w:val="00565D41"/>
    <w:rsid w:val="00570B2A"/>
    <w:rsid w:val="0057235A"/>
    <w:rsid w:val="00572E52"/>
    <w:rsid w:val="00572FE1"/>
    <w:rsid w:val="00573447"/>
    <w:rsid w:val="005735F1"/>
    <w:rsid w:val="0057384A"/>
    <w:rsid w:val="00573E63"/>
    <w:rsid w:val="00574E97"/>
    <w:rsid w:val="00576857"/>
    <w:rsid w:val="00576894"/>
    <w:rsid w:val="005775B6"/>
    <w:rsid w:val="00580187"/>
    <w:rsid w:val="00580263"/>
    <w:rsid w:val="005809BC"/>
    <w:rsid w:val="00581585"/>
    <w:rsid w:val="00581F75"/>
    <w:rsid w:val="00584FA0"/>
    <w:rsid w:val="00585017"/>
    <w:rsid w:val="00585417"/>
    <w:rsid w:val="005857FC"/>
    <w:rsid w:val="005863FC"/>
    <w:rsid w:val="0058655C"/>
    <w:rsid w:val="00586624"/>
    <w:rsid w:val="0058678E"/>
    <w:rsid w:val="00587F64"/>
    <w:rsid w:val="00590AF7"/>
    <w:rsid w:val="00591606"/>
    <w:rsid w:val="0059171D"/>
    <w:rsid w:val="00591DEA"/>
    <w:rsid w:val="005920A1"/>
    <w:rsid w:val="00592A89"/>
    <w:rsid w:val="00592C17"/>
    <w:rsid w:val="005931B8"/>
    <w:rsid w:val="00593D23"/>
    <w:rsid w:val="005948EF"/>
    <w:rsid w:val="0059576F"/>
    <w:rsid w:val="005957C9"/>
    <w:rsid w:val="00597D94"/>
    <w:rsid w:val="005A0246"/>
    <w:rsid w:val="005A05E0"/>
    <w:rsid w:val="005A1301"/>
    <w:rsid w:val="005A1F28"/>
    <w:rsid w:val="005A2D15"/>
    <w:rsid w:val="005A352C"/>
    <w:rsid w:val="005A3926"/>
    <w:rsid w:val="005A451A"/>
    <w:rsid w:val="005A52DE"/>
    <w:rsid w:val="005A69FE"/>
    <w:rsid w:val="005A7A7F"/>
    <w:rsid w:val="005B0FC5"/>
    <w:rsid w:val="005B102B"/>
    <w:rsid w:val="005B1089"/>
    <w:rsid w:val="005B17AD"/>
    <w:rsid w:val="005B190C"/>
    <w:rsid w:val="005B1CD6"/>
    <w:rsid w:val="005B1D52"/>
    <w:rsid w:val="005B254E"/>
    <w:rsid w:val="005B294B"/>
    <w:rsid w:val="005B5352"/>
    <w:rsid w:val="005B5367"/>
    <w:rsid w:val="005B60BD"/>
    <w:rsid w:val="005B6418"/>
    <w:rsid w:val="005B66AC"/>
    <w:rsid w:val="005B7825"/>
    <w:rsid w:val="005C07AE"/>
    <w:rsid w:val="005C0C33"/>
    <w:rsid w:val="005C0C94"/>
    <w:rsid w:val="005C0F59"/>
    <w:rsid w:val="005C118F"/>
    <w:rsid w:val="005C18ED"/>
    <w:rsid w:val="005C2707"/>
    <w:rsid w:val="005C2EC8"/>
    <w:rsid w:val="005C425B"/>
    <w:rsid w:val="005C5902"/>
    <w:rsid w:val="005C6A5A"/>
    <w:rsid w:val="005D05E3"/>
    <w:rsid w:val="005D0653"/>
    <w:rsid w:val="005D0AA1"/>
    <w:rsid w:val="005D1B48"/>
    <w:rsid w:val="005D1C8E"/>
    <w:rsid w:val="005D291E"/>
    <w:rsid w:val="005D3298"/>
    <w:rsid w:val="005D33C3"/>
    <w:rsid w:val="005D3806"/>
    <w:rsid w:val="005D3D1D"/>
    <w:rsid w:val="005D5D29"/>
    <w:rsid w:val="005D5E1A"/>
    <w:rsid w:val="005D61FD"/>
    <w:rsid w:val="005D7414"/>
    <w:rsid w:val="005D747A"/>
    <w:rsid w:val="005D7639"/>
    <w:rsid w:val="005D78A6"/>
    <w:rsid w:val="005E0379"/>
    <w:rsid w:val="005E04AD"/>
    <w:rsid w:val="005E0BB7"/>
    <w:rsid w:val="005E133F"/>
    <w:rsid w:val="005E1488"/>
    <w:rsid w:val="005E1749"/>
    <w:rsid w:val="005E289F"/>
    <w:rsid w:val="005E2C3C"/>
    <w:rsid w:val="005E3550"/>
    <w:rsid w:val="005E376E"/>
    <w:rsid w:val="005E3DCF"/>
    <w:rsid w:val="005E4082"/>
    <w:rsid w:val="005E4712"/>
    <w:rsid w:val="005E4917"/>
    <w:rsid w:val="005E7E31"/>
    <w:rsid w:val="005E7E85"/>
    <w:rsid w:val="005F0458"/>
    <w:rsid w:val="005F222C"/>
    <w:rsid w:val="005F2348"/>
    <w:rsid w:val="005F2B21"/>
    <w:rsid w:val="005F2FC4"/>
    <w:rsid w:val="005F4062"/>
    <w:rsid w:val="005F62AA"/>
    <w:rsid w:val="005F646A"/>
    <w:rsid w:val="005F6487"/>
    <w:rsid w:val="005F7116"/>
    <w:rsid w:val="005F7900"/>
    <w:rsid w:val="005F7CBC"/>
    <w:rsid w:val="00600B66"/>
    <w:rsid w:val="0060155F"/>
    <w:rsid w:val="0060177F"/>
    <w:rsid w:val="00602D73"/>
    <w:rsid w:val="006048C6"/>
    <w:rsid w:val="00604EF0"/>
    <w:rsid w:val="00604FF2"/>
    <w:rsid w:val="0060517D"/>
    <w:rsid w:val="00605619"/>
    <w:rsid w:val="00605992"/>
    <w:rsid w:val="00605D2D"/>
    <w:rsid w:val="00605DF5"/>
    <w:rsid w:val="00605F85"/>
    <w:rsid w:val="00605F9C"/>
    <w:rsid w:val="00606DE2"/>
    <w:rsid w:val="00607CE0"/>
    <w:rsid w:val="00607CE4"/>
    <w:rsid w:val="00610C5F"/>
    <w:rsid w:val="006117A3"/>
    <w:rsid w:val="00611C33"/>
    <w:rsid w:val="00612729"/>
    <w:rsid w:val="0061276C"/>
    <w:rsid w:val="006133EB"/>
    <w:rsid w:val="00614118"/>
    <w:rsid w:val="00614420"/>
    <w:rsid w:val="006144EF"/>
    <w:rsid w:val="00614521"/>
    <w:rsid w:val="00614BEE"/>
    <w:rsid w:val="006158CA"/>
    <w:rsid w:val="00615E0A"/>
    <w:rsid w:val="00616C1F"/>
    <w:rsid w:val="006206AB"/>
    <w:rsid w:val="00621248"/>
    <w:rsid w:val="00621CEE"/>
    <w:rsid w:val="00621EC7"/>
    <w:rsid w:val="00622A60"/>
    <w:rsid w:val="00623CEF"/>
    <w:rsid w:val="00625325"/>
    <w:rsid w:val="00626612"/>
    <w:rsid w:val="006269FE"/>
    <w:rsid w:val="006277E8"/>
    <w:rsid w:val="00627C37"/>
    <w:rsid w:val="0063075F"/>
    <w:rsid w:val="00631A6F"/>
    <w:rsid w:val="00634092"/>
    <w:rsid w:val="00634F75"/>
    <w:rsid w:val="00635436"/>
    <w:rsid w:val="006355AD"/>
    <w:rsid w:val="006355D0"/>
    <w:rsid w:val="0063593D"/>
    <w:rsid w:val="0063613E"/>
    <w:rsid w:val="00636354"/>
    <w:rsid w:val="00636858"/>
    <w:rsid w:val="00636D71"/>
    <w:rsid w:val="006371B3"/>
    <w:rsid w:val="0063732D"/>
    <w:rsid w:val="006377A5"/>
    <w:rsid w:val="00640419"/>
    <w:rsid w:val="0064087F"/>
    <w:rsid w:val="00640CA3"/>
    <w:rsid w:val="00640D8B"/>
    <w:rsid w:val="0064196B"/>
    <w:rsid w:val="006419DA"/>
    <w:rsid w:val="00641C86"/>
    <w:rsid w:val="00643C8D"/>
    <w:rsid w:val="006441BC"/>
    <w:rsid w:val="006453AD"/>
    <w:rsid w:val="00647015"/>
    <w:rsid w:val="006507CD"/>
    <w:rsid w:val="00650941"/>
    <w:rsid w:val="0065108C"/>
    <w:rsid w:val="006513CB"/>
    <w:rsid w:val="006526C7"/>
    <w:rsid w:val="00652CD3"/>
    <w:rsid w:val="00652F91"/>
    <w:rsid w:val="00654C56"/>
    <w:rsid w:val="006553C9"/>
    <w:rsid w:val="0065584F"/>
    <w:rsid w:val="006574B6"/>
    <w:rsid w:val="006575E7"/>
    <w:rsid w:val="006607CA"/>
    <w:rsid w:val="00660CE8"/>
    <w:rsid w:val="006617EA"/>
    <w:rsid w:val="00663003"/>
    <w:rsid w:val="0066336B"/>
    <w:rsid w:val="00664C32"/>
    <w:rsid w:val="00664C7B"/>
    <w:rsid w:val="0066583B"/>
    <w:rsid w:val="006659A0"/>
    <w:rsid w:val="0066640C"/>
    <w:rsid w:val="00666E7B"/>
    <w:rsid w:val="00667B40"/>
    <w:rsid w:val="00667C90"/>
    <w:rsid w:val="00667F63"/>
    <w:rsid w:val="006706D4"/>
    <w:rsid w:val="00671F87"/>
    <w:rsid w:val="00672511"/>
    <w:rsid w:val="006725D5"/>
    <w:rsid w:val="006726E3"/>
    <w:rsid w:val="006730CD"/>
    <w:rsid w:val="00673215"/>
    <w:rsid w:val="00674594"/>
    <w:rsid w:val="00675016"/>
    <w:rsid w:val="006750D2"/>
    <w:rsid w:val="006752F4"/>
    <w:rsid w:val="006753D3"/>
    <w:rsid w:val="00675775"/>
    <w:rsid w:val="00675A37"/>
    <w:rsid w:val="0067667F"/>
    <w:rsid w:val="00680648"/>
    <w:rsid w:val="00680982"/>
    <w:rsid w:val="00681B02"/>
    <w:rsid w:val="00681E5E"/>
    <w:rsid w:val="0068223C"/>
    <w:rsid w:val="006822F5"/>
    <w:rsid w:val="00682411"/>
    <w:rsid w:val="0068407F"/>
    <w:rsid w:val="0068411D"/>
    <w:rsid w:val="00684B14"/>
    <w:rsid w:val="006853A6"/>
    <w:rsid w:val="00686461"/>
    <w:rsid w:val="006875BD"/>
    <w:rsid w:val="00687947"/>
    <w:rsid w:val="006900B6"/>
    <w:rsid w:val="0069066A"/>
    <w:rsid w:val="00690A30"/>
    <w:rsid w:val="00691327"/>
    <w:rsid w:val="00691A22"/>
    <w:rsid w:val="006921E8"/>
    <w:rsid w:val="00692505"/>
    <w:rsid w:val="0069288F"/>
    <w:rsid w:val="00692C95"/>
    <w:rsid w:val="00693D0B"/>
    <w:rsid w:val="0069495E"/>
    <w:rsid w:val="006952EF"/>
    <w:rsid w:val="00695900"/>
    <w:rsid w:val="00695E98"/>
    <w:rsid w:val="00697892"/>
    <w:rsid w:val="00697F4C"/>
    <w:rsid w:val="006A0604"/>
    <w:rsid w:val="006A0779"/>
    <w:rsid w:val="006A0AD7"/>
    <w:rsid w:val="006A0D3C"/>
    <w:rsid w:val="006A16CB"/>
    <w:rsid w:val="006A1805"/>
    <w:rsid w:val="006A216C"/>
    <w:rsid w:val="006A3338"/>
    <w:rsid w:val="006A3729"/>
    <w:rsid w:val="006A411D"/>
    <w:rsid w:val="006A4867"/>
    <w:rsid w:val="006A60FA"/>
    <w:rsid w:val="006A691C"/>
    <w:rsid w:val="006A6AC9"/>
    <w:rsid w:val="006A6DDC"/>
    <w:rsid w:val="006B1211"/>
    <w:rsid w:val="006B13EE"/>
    <w:rsid w:val="006B20A9"/>
    <w:rsid w:val="006B2BDA"/>
    <w:rsid w:val="006B3059"/>
    <w:rsid w:val="006B35CE"/>
    <w:rsid w:val="006B36A3"/>
    <w:rsid w:val="006B3F91"/>
    <w:rsid w:val="006B49B4"/>
    <w:rsid w:val="006B4FBF"/>
    <w:rsid w:val="006B7430"/>
    <w:rsid w:val="006B7441"/>
    <w:rsid w:val="006C008A"/>
    <w:rsid w:val="006C1007"/>
    <w:rsid w:val="006C2223"/>
    <w:rsid w:val="006C2498"/>
    <w:rsid w:val="006C3F13"/>
    <w:rsid w:val="006C4BB5"/>
    <w:rsid w:val="006C4FD9"/>
    <w:rsid w:val="006C55B4"/>
    <w:rsid w:val="006C5B50"/>
    <w:rsid w:val="006C5C6A"/>
    <w:rsid w:val="006C5F16"/>
    <w:rsid w:val="006C6E2B"/>
    <w:rsid w:val="006C70A1"/>
    <w:rsid w:val="006D06B5"/>
    <w:rsid w:val="006D2BB1"/>
    <w:rsid w:val="006D4E28"/>
    <w:rsid w:val="006D506E"/>
    <w:rsid w:val="006D5961"/>
    <w:rsid w:val="006D5E0B"/>
    <w:rsid w:val="006D5E79"/>
    <w:rsid w:val="006D60D3"/>
    <w:rsid w:val="006D67AD"/>
    <w:rsid w:val="006D75BB"/>
    <w:rsid w:val="006D75E7"/>
    <w:rsid w:val="006E022F"/>
    <w:rsid w:val="006E1566"/>
    <w:rsid w:val="006E19B4"/>
    <w:rsid w:val="006E1AFF"/>
    <w:rsid w:val="006E1DA3"/>
    <w:rsid w:val="006E2BB4"/>
    <w:rsid w:val="006E355E"/>
    <w:rsid w:val="006E46F8"/>
    <w:rsid w:val="006E475A"/>
    <w:rsid w:val="006E5C05"/>
    <w:rsid w:val="006E6066"/>
    <w:rsid w:val="006E616B"/>
    <w:rsid w:val="006E63F8"/>
    <w:rsid w:val="006E65F6"/>
    <w:rsid w:val="006E67F3"/>
    <w:rsid w:val="006E73F3"/>
    <w:rsid w:val="006E7520"/>
    <w:rsid w:val="006E78A1"/>
    <w:rsid w:val="006E7B0B"/>
    <w:rsid w:val="006E7B58"/>
    <w:rsid w:val="006E7B9D"/>
    <w:rsid w:val="006E7D5E"/>
    <w:rsid w:val="006F1D58"/>
    <w:rsid w:val="006F1F4B"/>
    <w:rsid w:val="006F2F26"/>
    <w:rsid w:val="006F3065"/>
    <w:rsid w:val="006F4591"/>
    <w:rsid w:val="006F57E5"/>
    <w:rsid w:val="006F6813"/>
    <w:rsid w:val="006F6F2C"/>
    <w:rsid w:val="006F72E7"/>
    <w:rsid w:val="006F73D1"/>
    <w:rsid w:val="006F77AC"/>
    <w:rsid w:val="00700447"/>
    <w:rsid w:val="00700674"/>
    <w:rsid w:val="00700858"/>
    <w:rsid w:val="00700979"/>
    <w:rsid w:val="0070169D"/>
    <w:rsid w:val="0070181C"/>
    <w:rsid w:val="00701AD9"/>
    <w:rsid w:val="00701C5A"/>
    <w:rsid w:val="00701EB6"/>
    <w:rsid w:val="0070219A"/>
    <w:rsid w:val="007022F3"/>
    <w:rsid w:val="00702FC1"/>
    <w:rsid w:val="007033B2"/>
    <w:rsid w:val="007033F8"/>
    <w:rsid w:val="00705248"/>
    <w:rsid w:val="00705E5B"/>
    <w:rsid w:val="007060C5"/>
    <w:rsid w:val="0070645F"/>
    <w:rsid w:val="007064A6"/>
    <w:rsid w:val="00706DCA"/>
    <w:rsid w:val="00706F2F"/>
    <w:rsid w:val="00707185"/>
    <w:rsid w:val="0070728A"/>
    <w:rsid w:val="0070738A"/>
    <w:rsid w:val="00710014"/>
    <w:rsid w:val="007104C5"/>
    <w:rsid w:val="00710B31"/>
    <w:rsid w:val="00710FAD"/>
    <w:rsid w:val="00711B61"/>
    <w:rsid w:val="007121F5"/>
    <w:rsid w:val="007136B5"/>
    <w:rsid w:val="007139D6"/>
    <w:rsid w:val="00714455"/>
    <w:rsid w:val="0071455F"/>
    <w:rsid w:val="00714AC7"/>
    <w:rsid w:val="00714B20"/>
    <w:rsid w:val="00714C51"/>
    <w:rsid w:val="00714D71"/>
    <w:rsid w:val="00715808"/>
    <w:rsid w:val="00715DFC"/>
    <w:rsid w:val="0071624F"/>
    <w:rsid w:val="00716390"/>
    <w:rsid w:val="0071700F"/>
    <w:rsid w:val="0071709A"/>
    <w:rsid w:val="007179F2"/>
    <w:rsid w:val="0072050B"/>
    <w:rsid w:val="007206E6"/>
    <w:rsid w:val="007213C4"/>
    <w:rsid w:val="00721CD1"/>
    <w:rsid w:val="00721D08"/>
    <w:rsid w:val="007222F5"/>
    <w:rsid w:val="00722BC2"/>
    <w:rsid w:val="0072303F"/>
    <w:rsid w:val="00723C2F"/>
    <w:rsid w:val="00723E50"/>
    <w:rsid w:val="007247E4"/>
    <w:rsid w:val="00724C1B"/>
    <w:rsid w:val="007250AB"/>
    <w:rsid w:val="007253A7"/>
    <w:rsid w:val="00725AA5"/>
    <w:rsid w:val="00726A7C"/>
    <w:rsid w:val="007270CF"/>
    <w:rsid w:val="007272EE"/>
    <w:rsid w:val="0072762A"/>
    <w:rsid w:val="00727714"/>
    <w:rsid w:val="00727A5B"/>
    <w:rsid w:val="00727A61"/>
    <w:rsid w:val="00730A58"/>
    <w:rsid w:val="00731DEC"/>
    <w:rsid w:val="00733D05"/>
    <w:rsid w:val="00734241"/>
    <w:rsid w:val="00734BF9"/>
    <w:rsid w:val="0073516B"/>
    <w:rsid w:val="00735B2A"/>
    <w:rsid w:val="0073667F"/>
    <w:rsid w:val="007378AF"/>
    <w:rsid w:val="007378EE"/>
    <w:rsid w:val="00737AF0"/>
    <w:rsid w:val="00737E07"/>
    <w:rsid w:val="00737F30"/>
    <w:rsid w:val="00742CD8"/>
    <w:rsid w:val="00743EC5"/>
    <w:rsid w:val="007443D4"/>
    <w:rsid w:val="0074517D"/>
    <w:rsid w:val="007453C0"/>
    <w:rsid w:val="00745CAF"/>
    <w:rsid w:val="007466A0"/>
    <w:rsid w:val="007470A0"/>
    <w:rsid w:val="007514EA"/>
    <w:rsid w:val="00751DF5"/>
    <w:rsid w:val="00752545"/>
    <w:rsid w:val="00753814"/>
    <w:rsid w:val="00753AC2"/>
    <w:rsid w:val="00753E41"/>
    <w:rsid w:val="0075494E"/>
    <w:rsid w:val="00756013"/>
    <w:rsid w:val="00756694"/>
    <w:rsid w:val="00757F97"/>
    <w:rsid w:val="007602F9"/>
    <w:rsid w:val="007603BC"/>
    <w:rsid w:val="0076097D"/>
    <w:rsid w:val="00760D18"/>
    <w:rsid w:val="00761148"/>
    <w:rsid w:val="00762B0E"/>
    <w:rsid w:val="00762F96"/>
    <w:rsid w:val="00763C72"/>
    <w:rsid w:val="007645B8"/>
    <w:rsid w:val="00764A6E"/>
    <w:rsid w:val="00765991"/>
    <w:rsid w:val="0076604E"/>
    <w:rsid w:val="00766FCE"/>
    <w:rsid w:val="00767571"/>
    <w:rsid w:val="00767916"/>
    <w:rsid w:val="00767B44"/>
    <w:rsid w:val="00771418"/>
    <w:rsid w:val="00772CC0"/>
    <w:rsid w:val="0077372C"/>
    <w:rsid w:val="00773D88"/>
    <w:rsid w:val="00774175"/>
    <w:rsid w:val="00774680"/>
    <w:rsid w:val="00776998"/>
    <w:rsid w:val="00777233"/>
    <w:rsid w:val="0077771B"/>
    <w:rsid w:val="00777911"/>
    <w:rsid w:val="007779C1"/>
    <w:rsid w:val="00777FA6"/>
    <w:rsid w:val="00780B7B"/>
    <w:rsid w:val="0078159F"/>
    <w:rsid w:val="00783253"/>
    <w:rsid w:val="00783CEA"/>
    <w:rsid w:val="0078456F"/>
    <w:rsid w:val="00784AD3"/>
    <w:rsid w:val="00784B2B"/>
    <w:rsid w:val="00784EE0"/>
    <w:rsid w:val="00785EA9"/>
    <w:rsid w:val="007861AF"/>
    <w:rsid w:val="007861CC"/>
    <w:rsid w:val="00786304"/>
    <w:rsid w:val="00787893"/>
    <w:rsid w:val="00787D08"/>
    <w:rsid w:val="00787D6C"/>
    <w:rsid w:val="0079038B"/>
    <w:rsid w:val="00790637"/>
    <w:rsid w:val="0079190C"/>
    <w:rsid w:val="007922E1"/>
    <w:rsid w:val="0079427F"/>
    <w:rsid w:val="00794604"/>
    <w:rsid w:val="00794AAC"/>
    <w:rsid w:val="00795193"/>
    <w:rsid w:val="0079589F"/>
    <w:rsid w:val="00797322"/>
    <w:rsid w:val="00797802"/>
    <w:rsid w:val="00797AF8"/>
    <w:rsid w:val="007A102A"/>
    <w:rsid w:val="007A23DE"/>
    <w:rsid w:val="007A31D8"/>
    <w:rsid w:val="007A39B1"/>
    <w:rsid w:val="007A3F3F"/>
    <w:rsid w:val="007A4136"/>
    <w:rsid w:val="007A453D"/>
    <w:rsid w:val="007A47D3"/>
    <w:rsid w:val="007A4D5A"/>
    <w:rsid w:val="007A51F6"/>
    <w:rsid w:val="007A5995"/>
    <w:rsid w:val="007A617B"/>
    <w:rsid w:val="007A6917"/>
    <w:rsid w:val="007A6A1A"/>
    <w:rsid w:val="007A7E5A"/>
    <w:rsid w:val="007B0182"/>
    <w:rsid w:val="007B0A38"/>
    <w:rsid w:val="007B1D5B"/>
    <w:rsid w:val="007B2003"/>
    <w:rsid w:val="007B2D08"/>
    <w:rsid w:val="007B35ED"/>
    <w:rsid w:val="007B3733"/>
    <w:rsid w:val="007B3814"/>
    <w:rsid w:val="007B396D"/>
    <w:rsid w:val="007B3B82"/>
    <w:rsid w:val="007B3DF4"/>
    <w:rsid w:val="007B42BE"/>
    <w:rsid w:val="007B4CDC"/>
    <w:rsid w:val="007B5403"/>
    <w:rsid w:val="007B5609"/>
    <w:rsid w:val="007B5766"/>
    <w:rsid w:val="007B5F01"/>
    <w:rsid w:val="007B7DC0"/>
    <w:rsid w:val="007C0163"/>
    <w:rsid w:val="007C0D20"/>
    <w:rsid w:val="007C102E"/>
    <w:rsid w:val="007C1AE0"/>
    <w:rsid w:val="007C1E6D"/>
    <w:rsid w:val="007C203F"/>
    <w:rsid w:val="007C2A0B"/>
    <w:rsid w:val="007C2A65"/>
    <w:rsid w:val="007C2B57"/>
    <w:rsid w:val="007C2DB8"/>
    <w:rsid w:val="007C2E17"/>
    <w:rsid w:val="007C2EF0"/>
    <w:rsid w:val="007C2F7E"/>
    <w:rsid w:val="007C2F84"/>
    <w:rsid w:val="007C32FF"/>
    <w:rsid w:val="007C3CB9"/>
    <w:rsid w:val="007C414C"/>
    <w:rsid w:val="007C5666"/>
    <w:rsid w:val="007C5E36"/>
    <w:rsid w:val="007C6023"/>
    <w:rsid w:val="007C64B9"/>
    <w:rsid w:val="007C679B"/>
    <w:rsid w:val="007C6A71"/>
    <w:rsid w:val="007D006E"/>
    <w:rsid w:val="007D034E"/>
    <w:rsid w:val="007D0374"/>
    <w:rsid w:val="007D0940"/>
    <w:rsid w:val="007D0947"/>
    <w:rsid w:val="007D0ABD"/>
    <w:rsid w:val="007D11BC"/>
    <w:rsid w:val="007D1A6E"/>
    <w:rsid w:val="007D1B8C"/>
    <w:rsid w:val="007D20E9"/>
    <w:rsid w:val="007D297B"/>
    <w:rsid w:val="007D2F08"/>
    <w:rsid w:val="007D32D2"/>
    <w:rsid w:val="007D3562"/>
    <w:rsid w:val="007D4190"/>
    <w:rsid w:val="007D4247"/>
    <w:rsid w:val="007D4393"/>
    <w:rsid w:val="007D5056"/>
    <w:rsid w:val="007D52EE"/>
    <w:rsid w:val="007D5B07"/>
    <w:rsid w:val="007D7378"/>
    <w:rsid w:val="007E0642"/>
    <w:rsid w:val="007E09A5"/>
    <w:rsid w:val="007E09B8"/>
    <w:rsid w:val="007E0DD8"/>
    <w:rsid w:val="007E1B74"/>
    <w:rsid w:val="007E1D7A"/>
    <w:rsid w:val="007E21E1"/>
    <w:rsid w:val="007E2971"/>
    <w:rsid w:val="007E2A3C"/>
    <w:rsid w:val="007E2E44"/>
    <w:rsid w:val="007E34F1"/>
    <w:rsid w:val="007E4036"/>
    <w:rsid w:val="007E5C08"/>
    <w:rsid w:val="007E5D12"/>
    <w:rsid w:val="007E5DBB"/>
    <w:rsid w:val="007E63C0"/>
    <w:rsid w:val="007E666E"/>
    <w:rsid w:val="007E6B79"/>
    <w:rsid w:val="007E6B9A"/>
    <w:rsid w:val="007E6CB5"/>
    <w:rsid w:val="007E70C7"/>
    <w:rsid w:val="007F03AD"/>
    <w:rsid w:val="007F0C50"/>
    <w:rsid w:val="007F0FAE"/>
    <w:rsid w:val="007F137B"/>
    <w:rsid w:val="007F154D"/>
    <w:rsid w:val="007F1667"/>
    <w:rsid w:val="007F16B9"/>
    <w:rsid w:val="007F181F"/>
    <w:rsid w:val="007F2F11"/>
    <w:rsid w:val="007F343F"/>
    <w:rsid w:val="007F3A49"/>
    <w:rsid w:val="007F4076"/>
    <w:rsid w:val="007F4BF4"/>
    <w:rsid w:val="007F52D8"/>
    <w:rsid w:val="007F5796"/>
    <w:rsid w:val="007F690F"/>
    <w:rsid w:val="007F76A8"/>
    <w:rsid w:val="007F79C2"/>
    <w:rsid w:val="007F7ABF"/>
    <w:rsid w:val="0080004D"/>
    <w:rsid w:val="00800845"/>
    <w:rsid w:val="00801444"/>
    <w:rsid w:val="00801977"/>
    <w:rsid w:val="00801F39"/>
    <w:rsid w:val="008024D8"/>
    <w:rsid w:val="008024DE"/>
    <w:rsid w:val="008039AF"/>
    <w:rsid w:val="00803B02"/>
    <w:rsid w:val="00804CC6"/>
    <w:rsid w:val="00804CD4"/>
    <w:rsid w:val="0080607A"/>
    <w:rsid w:val="00807016"/>
    <w:rsid w:val="008071EF"/>
    <w:rsid w:val="008071FF"/>
    <w:rsid w:val="0080790D"/>
    <w:rsid w:val="00807DCB"/>
    <w:rsid w:val="00810557"/>
    <w:rsid w:val="008106B8"/>
    <w:rsid w:val="00810F6A"/>
    <w:rsid w:val="00811AAD"/>
    <w:rsid w:val="00811B99"/>
    <w:rsid w:val="00812558"/>
    <w:rsid w:val="00812728"/>
    <w:rsid w:val="00812C6E"/>
    <w:rsid w:val="00812E94"/>
    <w:rsid w:val="0081338E"/>
    <w:rsid w:val="00813495"/>
    <w:rsid w:val="00813BEE"/>
    <w:rsid w:val="00814684"/>
    <w:rsid w:val="00815072"/>
    <w:rsid w:val="00815105"/>
    <w:rsid w:val="008161FD"/>
    <w:rsid w:val="00816F25"/>
    <w:rsid w:val="00817327"/>
    <w:rsid w:val="00820197"/>
    <w:rsid w:val="0082020A"/>
    <w:rsid w:val="00820D7C"/>
    <w:rsid w:val="0082118A"/>
    <w:rsid w:val="00821551"/>
    <w:rsid w:val="00821837"/>
    <w:rsid w:val="00821B8D"/>
    <w:rsid w:val="00821F19"/>
    <w:rsid w:val="008224BB"/>
    <w:rsid w:val="00822A5A"/>
    <w:rsid w:val="00822DFB"/>
    <w:rsid w:val="00822EBB"/>
    <w:rsid w:val="00823269"/>
    <w:rsid w:val="008235D2"/>
    <w:rsid w:val="008245CA"/>
    <w:rsid w:val="00824C5A"/>
    <w:rsid w:val="00824DFF"/>
    <w:rsid w:val="00825AEF"/>
    <w:rsid w:val="008265EF"/>
    <w:rsid w:val="00827DB5"/>
    <w:rsid w:val="00831F2F"/>
    <w:rsid w:val="00832348"/>
    <w:rsid w:val="008336DB"/>
    <w:rsid w:val="008336E7"/>
    <w:rsid w:val="00834A73"/>
    <w:rsid w:val="00834D1F"/>
    <w:rsid w:val="00835247"/>
    <w:rsid w:val="00835731"/>
    <w:rsid w:val="00835F16"/>
    <w:rsid w:val="0083695B"/>
    <w:rsid w:val="0083728C"/>
    <w:rsid w:val="008379F9"/>
    <w:rsid w:val="00840108"/>
    <w:rsid w:val="00840807"/>
    <w:rsid w:val="00840831"/>
    <w:rsid w:val="00840FC8"/>
    <w:rsid w:val="008422AF"/>
    <w:rsid w:val="00842B12"/>
    <w:rsid w:val="00842BA2"/>
    <w:rsid w:val="008438DF"/>
    <w:rsid w:val="008439CA"/>
    <w:rsid w:val="00843C4B"/>
    <w:rsid w:val="0084425F"/>
    <w:rsid w:val="008446FA"/>
    <w:rsid w:val="00844ED5"/>
    <w:rsid w:val="0084700E"/>
    <w:rsid w:val="008479D1"/>
    <w:rsid w:val="00847D38"/>
    <w:rsid w:val="00847DBC"/>
    <w:rsid w:val="008500D1"/>
    <w:rsid w:val="00851430"/>
    <w:rsid w:val="0085163C"/>
    <w:rsid w:val="00851EDD"/>
    <w:rsid w:val="008524E7"/>
    <w:rsid w:val="008528A2"/>
    <w:rsid w:val="00853797"/>
    <w:rsid w:val="00853ED0"/>
    <w:rsid w:val="008547F2"/>
    <w:rsid w:val="00854AB9"/>
    <w:rsid w:val="00854DBC"/>
    <w:rsid w:val="00854EEF"/>
    <w:rsid w:val="008550E2"/>
    <w:rsid w:val="00855520"/>
    <w:rsid w:val="0085588E"/>
    <w:rsid w:val="00856BB8"/>
    <w:rsid w:val="008571C4"/>
    <w:rsid w:val="00857A23"/>
    <w:rsid w:val="00857E9B"/>
    <w:rsid w:val="00860503"/>
    <w:rsid w:val="00861B37"/>
    <w:rsid w:val="00861C13"/>
    <w:rsid w:val="00862170"/>
    <w:rsid w:val="00863BC0"/>
    <w:rsid w:val="00863C6F"/>
    <w:rsid w:val="008644C6"/>
    <w:rsid w:val="008647A3"/>
    <w:rsid w:val="00864DC4"/>
    <w:rsid w:val="00864E42"/>
    <w:rsid w:val="00865944"/>
    <w:rsid w:val="00866066"/>
    <w:rsid w:val="00866909"/>
    <w:rsid w:val="00866F69"/>
    <w:rsid w:val="008671D1"/>
    <w:rsid w:val="008672BE"/>
    <w:rsid w:val="00867500"/>
    <w:rsid w:val="00867666"/>
    <w:rsid w:val="008679DE"/>
    <w:rsid w:val="00867EE9"/>
    <w:rsid w:val="00867F5D"/>
    <w:rsid w:val="008700DE"/>
    <w:rsid w:val="00870271"/>
    <w:rsid w:val="00871DA1"/>
    <w:rsid w:val="00872903"/>
    <w:rsid w:val="00872E5C"/>
    <w:rsid w:val="00873FE7"/>
    <w:rsid w:val="008746DE"/>
    <w:rsid w:val="00875C05"/>
    <w:rsid w:val="00876BD4"/>
    <w:rsid w:val="00877156"/>
    <w:rsid w:val="00877F9C"/>
    <w:rsid w:val="0088031B"/>
    <w:rsid w:val="00881550"/>
    <w:rsid w:val="00881921"/>
    <w:rsid w:val="008828AB"/>
    <w:rsid w:val="008832F6"/>
    <w:rsid w:val="00884B30"/>
    <w:rsid w:val="00884F33"/>
    <w:rsid w:val="00885618"/>
    <w:rsid w:val="00885B29"/>
    <w:rsid w:val="00885D22"/>
    <w:rsid w:val="008862F1"/>
    <w:rsid w:val="008865EF"/>
    <w:rsid w:val="00886645"/>
    <w:rsid w:val="008867A6"/>
    <w:rsid w:val="00886920"/>
    <w:rsid w:val="00886CD7"/>
    <w:rsid w:val="00887241"/>
    <w:rsid w:val="00887C93"/>
    <w:rsid w:val="008908D7"/>
    <w:rsid w:val="0089091E"/>
    <w:rsid w:val="00890C4E"/>
    <w:rsid w:val="0089108E"/>
    <w:rsid w:val="00891E7F"/>
    <w:rsid w:val="00892142"/>
    <w:rsid w:val="0089235D"/>
    <w:rsid w:val="00893823"/>
    <w:rsid w:val="00894571"/>
    <w:rsid w:val="00894886"/>
    <w:rsid w:val="0089571E"/>
    <w:rsid w:val="00895B99"/>
    <w:rsid w:val="0089686A"/>
    <w:rsid w:val="00897EE0"/>
    <w:rsid w:val="0089BB27"/>
    <w:rsid w:val="008A004E"/>
    <w:rsid w:val="008A047F"/>
    <w:rsid w:val="008A22A5"/>
    <w:rsid w:val="008A25EB"/>
    <w:rsid w:val="008A2E8E"/>
    <w:rsid w:val="008A3082"/>
    <w:rsid w:val="008A466B"/>
    <w:rsid w:val="008A4792"/>
    <w:rsid w:val="008A4FBC"/>
    <w:rsid w:val="008A5234"/>
    <w:rsid w:val="008A52DF"/>
    <w:rsid w:val="008A5407"/>
    <w:rsid w:val="008A5605"/>
    <w:rsid w:val="008A6501"/>
    <w:rsid w:val="008A682B"/>
    <w:rsid w:val="008A6875"/>
    <w:rsid w:val="008A6B74"/>
    <w:rsid w:val="008A6E52"/>
    <w:rsid w:val="008A79DE"/>
    <w:rsid w:val="008B0429"/>
    <w:rsid w:val="008B1604"/>
    <w:rsid w:val="008B1BBD"/>
    <w:rsid w:val="008B25DC"/>
    <w:rsid w:val="008B2F33"/>
    <w:rsid w:val="008B4EEE"/>
    <w:rsid w:val="008B5824"/>
    <w:rsid w:val="008B5F24"/>
    <w:rsid w:val="008B69C5"/>
    <w:rsid w:val="008B6A72"/>
    <w:rsid w:val="008B72E7"/>
    <w:rsid w:val="008C0B3C"/>
    <w:rsid w:val="008C2F29"/>
    <w:rsid w:val="008C4170"/>
    <w:rsid w:val="008C42F3"/>
    <w:rsid w:val="008C4811"/>
    <w:rsid w:val="008C4928"/>
    <w:rsid w:val="008C4957"/>
    <w:rsid w:val="008C4BFC"/>
    <w:rsid w:val="008C5152"/>
    <w:rsid w:val="008C61C9"/>
    <w:rsid w:val="008C6C28"/>
    <w:rsid w:val="008C7389"/>
    <w:rsid w:val="008D0197"/>
    <w:rsid w:val="008D023E"/>
    <w:rsid w:val="008D16A0"/>
    <w:rsid w:val="008D1E6A"/>
    <w:rsid w:val="008D22FB"/>
    <w:rsid w:val="008D269B"/>
    <w:rsid w:val="008D280C"/>
    <w:rsid w:val="008D299E"/>
    <w:rsid w:val="008D2C1B"/>
    <w:rsid w:val="008D3034"/>
    <w:rsid w:val="008D3274"/>
    <w:rsid w:val="008D48A3"/>
    <w:rsid w:val="008D4EE8"/>
    <w:rsid w:val="008D5365"/>
    <w:rsid w:val="008D78AC"/>
    <w:rsid w:val="008E0193"/>
    <w:rsid w:val="008E0AA4"/>
    <w:rsid w:val="008E1623"/>
    <w:rsid w:val="008E1730"/>
    <w:rsid w:val="008E199E"/>
    <w:rsid w:val="008E1F61"/>
    <w:rsid w:val="008E24C5"/>
    <w:rsid w:val="008E3391"/>
    <w:rsid w:val="008E48F9"/>
    <w:rsid w:val="008E55BC"/>
    <w:rsid w:val="008E5D82"/>
    <w:rsid w:val="008E5F9C"/>
    <w:rsid w:val="008E6036"/>
    <w:rsid w:val="008E61E0"/>
    <w:rsid w:val="008E6913"/>
    <w:rsid w:val="008E704A"/>
    <w:rsid w:val="008E711F"/>
    <w:rsid w:val="008E77C1"/>
    <w:rsid w:val="008F08E9"/>
    <w:rsid w:val="008F0BD7"/>
    <w:rsid w:val="008F0F7A"/>
    <w:rsid w:val="008F1C85"/>
    <w:rsid w:val="008F1E5E"/>
    <w:rsid w:val="008F30FC"/>
    <w:rsid w:val="008F3509"/>
    <w:rsid w:val="008F3C89"/>
    <w:rsid w:val="008F4704"/>
    <w:rsid w:val="008F4CBC"/>
    <w:rsid w:val="008F5650"/>
    <w:rsid w:val="008F781D"/>
    <w:rsid w:val="008F7A73"/>
    <w:rsid w:val="00900C6A"/>
    <w:rsid w:val="0090104E"/>
    <w:rsid w:val="00901188"/>
    <w:rsid w:val="0090165D"/>
    <w:rsid w:val="00901C5C"/>
    <w:rsid w:val="0090360D"/>
    <w:rsid w:val="00903856"/>
    <w:rsid w:val="00904109"/>
    <w:rsid w:val="009049CA"/>
    <w:rsid w:val="00905722"/>
    <w:rsid w:val="009063DF"/>
    <w:rsid w:val="00906DF2"/>
    <w:rsid w:val="00906FB1"/>
    <w:rsid w:val="00907141"/>
    <w:rsid w:val="009102D8"/>
    <w:rsid w:val="00910389"/>
    <w:rsid w:val="009107C1"/>
    <w:rsid w:val="00910971"/>
    <w:rsid w:val="00910CBB"/>
    <w:rsid w:val="00910D0A"/>
    <w:rsid w:val="0091162D"/>
    <w:rsid w:val="009118AA"/>
    <w:rsid w:val="009126E9"/>
    <w:rsid w:val="00912C28"/>
    <w:rsid w:val="009132DB"/>
    <w:rsid w:val="009133A2"/>
    <w:rsid w:val="00913446"/>
    <w:rsid w:val="00913676"/>
    <w:rsid w:val="00914346"/>
    <w:rsid w:val="009145F7"/>
    <w:rsid w:val="00914D0D"/>
    <w:rsid w:val="00914E2A"/>
    <w:rsid w:val="00915003"/>
    <w:rsid w:val="00916516"/>
    <w:rsid w:val="00916BED"/>
    <w:rsid w:val="009178AE"/>
    <w:rsid w:val="00917FBA"/>
    <w:rsid w:val="0092065C"/>
    <w:rsid w:val="009211F9"/>
    <w:rsid w:val="009216DC"/>
    <w:rsid w:val="00922500"/>
    <w:rsid w:val="0092370C"/>
    <w:rsid w:val="0092431B"/>
    <w:rsid w:val="009256D2"/>
    <w:rsid w:val="00926338"/>
    <w:rsid w:val="00926712"/>
    <w:rsid w:val="0092693D"/>
    <w:rsid w:val="00926E73"/>
    <w:rsid w:val="009278E7"/>
    <w:rsid w:val="00927A9C"/>
    <w:rsid w:val="00927D68"/>
    <w:rsid w:val="0093065E"/>
    <w:rsid w:val="009314B3"/>
    <w:rsid w:val="009316DE"/>
    <w:rsid w:val="009318DB"/>
    <w:rsid w:val="00931E46"/>
    <w:rsid w:val="009324B0"/>
    <w:rsid w:val="00932550"/>
    <w:rsid w:val="00932D74"/>
    <w:rsid w:val="009340FD"/>
    <w:rsid w:val="009345B4"/>
    <w:rsid w:val="00934ACF"/>
    <w:rsid w:val="00934B51"/>
    <w:rsid w:val="00934BE3"/>
    <w:rsid w:val="0093527C"/>
    <w:rsid w:val="00936309"/>
    <w:rsid w:val="00936E6A"/>
    <w:rsid w:val="0093769E"/>
    <w:rsid w:val="00937E57"/>
    <w:rsid w:val="0094008F"/>
    <w:rsid w:val="009400D3"/>
    <w:rsid w:val="009406DD"/>
    <w:rsid w:val="009413DF"/>
    <w:rsid w:val="0094166A"/>
    <w:rsid w:val="0094183E"/>
    <w:rsid w:val="0094191C"/>
    <w:rsid w:val="00942C5E"/>
    <w:rsid w:val="00943419"/>
    <w:rsid w:val="00943C88"/>
    <w:rsid w:val="00943DD1"/>
    <w:rsid w:val="0094431D"/>
    <w:rsid w:val="009443B2"/>
    <w:rsid w:val="00944A88"/>
    <w:rsid w:val="00945276"/>
    <w:rsid w:val="00945343"/>
    <w:rsid w:val="0094546F"/>
    <w:rsid w:val="0094615E"/>
    <w:rsid w:val="00946511"/>
    <w:rsid w:val="009467BD"/>
    <w:rsid w:val="009473C4"/>
    <w:rsid w:val="00947616"/>
    <w:rsid w:val="009479F7"/>
    <w:rsid w:val="00947ECF"/>
    <w:rsid w:val="009501D9"/>
    <w:rsid w:val="0095161C"/>
    <w:rsid w:val="00951698"/>
    <w:rsid w:val="009528D1"/>
    <w:rsid w:val="00952AA7"/>
    <w:rsid w:val="00952CF5"/>
    <w:rsid w:val="009535EB"/>
    <w:rsid w:val="00953CCB"/>
    <w:rsid w:val="009548C9"/>
    <w:rsid w:val="00954A89"/>
    <w:rsid w:val="0095609D"/>
    <w:rsid w:val="009579A3"/>
    <w:rsid w:val="00957B8B"/>
    <w:rsid w:val="0096034B"/>
    <w:rsid w:val="0096042D"/>
    <w:rsid w:val="00960797"/>
    <w:rsid w:val="00960D57"/>
    <w:rsid w:val="00962362"/>
    <w:rsid w:val="00962687"/>
    <w:rsid w:val="00962F0C"/>
    <w:rsid w:val="009633D0"/>
    <w:rsid w:val="009635B3"/>
    <w:rsid w:val="00963DED"/>
    <w:rsid w:val="009643ED"/>
    <w:rsid w:val="00964822"/>
    <w:rsid w:val="00964BBE"/>
    <w:rsid w:val="00965382"/>
    <w:rsid w:val="009655AE"/>
    <w:rsid w:val="009659DA"/>
    <w:rsid w:val="00965FCA"/>
    <w:rsid w:val="00966B4D"/>
    <w:rsid w:val="0096751B"/>
    <w:rsid w:val="0096759C"/>
    <w:rsid w:val="00967A92"/>
    <w:rsid w:val="00970BBE"/>
    <w:rsid w:val="0097158F"/>
    <w:rsid w:val="00971596"/>
    <w:rsid w:val="009719DA"/>
    <w:rsid w:val="0097319E"/>
    <w:rsid w:val="009731C4"/>
    <w:rsid w:val="009733F6"/>
    <w:rsid w:val="00973D9E"/>
    <w:rsid w:val="009741B5"/>
    <w:rsid w:val="0097476D"/>
    <w:rsid w:val="00975441"/>
    <w:rsid w:val="00976512"/>
    <w:rsid w:val="00977347"/>
    <w:rsid w:val="00980974"/>
    <w:rsid w:val="00980C71"/>
    <w:rsid w:val="00980CE4"/>
    <w:rsid w:val="00981B5F"/>
    <w:rsid w:val="0098253D"/>
    <w:rsid w:val="00982F16"/>
    <w:rsid w:val="009834BC"/>
    <w:rsid w:val="00983FFD"/>
    <w:rsid w:val="0098429C"/>
    <w:rsid w:val="0098443C"/>
    <w:rsid w:val="009859A2"/>
    <w:rsid w:val="009863DC"/>
    <w:rsid w:val="009865C2"/>
    <w:rsid w:val="00987E16"/>
    <w:rsid w:val="0099097E"/>
    <w:rsid w:val="009915C4"/>
    <w:rsid w:val="009924C7"/>
    <w:rsid w:val="00992FBB"/>
    <w:rsid w:val="00993878"/>
    <w:rsid w:val="0099407A"/>
    <w:rsid w:val="0099475A"/>
    <w:rsid w:val="009951AD"/>
    <w:rsid w:val="00996768"/>
    <w:rsid w:val="0099722A"/>
    <w:rsid w:val="00997305"/>
    <w:rsid w:val="009A0705"/>
    <w:rsid w:val="009A29D6"/>
    <w:rsid w:val="009A2A1C"/>
    <w:rsid w:val="009A2A40"/>
    <w:rsid w:val="009A329D"/>
    <w:rsid w:val="009A4241"/>
    <w:rsid w:val="009A47B8"/>
    <w:rsid w:val="009A55A1"/>
    <w:rsid w:val="009A5D46"/>
    <w:rsid w:val="009B0486"/>
    <w:rsid w:val="009B13E4"/>
    <w:rsid w:val="009B1898"/>
    <w:rsid w:val="009B2E6F"/>
    <w:rsid w:val="009B30CC"/>
    <w:rsid w:val="009B3421"/>
    <w:rsid w:val="009B3EE8"/>
    <w:rsid w:val="009B3FCC"/>
    <w:rsid w:val="009B5148"/>
    <w:rsid w:val="009B5B69"/>
    <w:rsid w:val="009B5CF4"/>
    <w:rsid w:val="009B5DCB"/>
    <w:rsid w:val="009B5F6A"/>
    <w:rsid w:val="009B690A"/>
    <w:rsid w:val="009B6A45"/>
    <w:rsid w:val="009B7639"/>
    <w:rsid w:val="009B7D4C"/>
    <w:rsid w:val="009C014B"/>
    <w:rsid w:val="009C0709"/>
    <w:rsid w:val="009C1940"/>
    <w:rsid w:val="009C1BA9"/>
    <w:rsid w:val="009C1E7B"/>
    <w:rsid w:val="009C2CFC"/>
    <w:rsid w:val="009C2D22"/>
    <w:rsid w:val="009C3F92"/>
    <w:rsid w:val="009C495B"/>
    <w:rsid w:val="009C4D7E"/>
    <w:rsid w:val="009C5937"/>
    <w:rsid w:val="009C6402"/>
    <w:rsid w:val="009C6730"/>
    <w:rsid w:val="009C679A"/>
    <w:rsid w:val="009C6C44"/>
    <w:rsid w:val="009C743F"/>
    <w:rsid w:val="009C75C0"/>
    <w:rsid w:val="009C76E9"/>
    <w:rsid w:val="009C7778"/>
    <w:rsid w:val="009C78C2"/>
    <w:rsid w:val="009C7E68"/>
    <w:rsid w:val="009D0D87"/>
    <w:rsid w:val="009D2CE3"/>
    <w:rsid w:val="009D3068"/>
    <w:rsid w:val="009D37F0"/>
    <w:rsid w:val="009D3E3C"/>
    <w:rsid w:val="009D4445"/>
    <w:rsid w:val="009D4648"/>
    <w:rsid w:val="009D4B6F"/>
    <w:rsid w:val="009D61FD"/>
    <w:rsid w:val="009D7BE1"/>
    <w:rsid w:val="009E0C07"/>
    <w:rsid w:val="009E15E6"/>
    <w:rsid w:val="009E2136"/>
    <w:rsid w:val="009E2537"/>
    <w:rsid w:val="009E2ABD"/>
    <w:rsid w:val="009E2FCA"/>
    <w:rsid w:val="009E30FD"/>
    <w:rsid w:val="009E3970"/>
    <w:rsid w:val="009E3D8F"/>
    <w:rsid w:val="009E46C3"/>
    <w:rsid w:val="009E6453"/>
    <w:rsid w:val="009E6716"/>
    <w:rsid w:val="009E693C"/>
    <w:rsid w:val="009F01D0"/>
    <w:rsid w:val="009F04CF"/>
    <w:rsid w:val="009F15D7"/>
    <w:rsid w:val="009F163B"/>
    <w:rsid w:val="009F2034"/>
    <w:rsid w:val="009F2DD5"/>
    <w:rsid w:val="009F3E81"/>
    <w:rsid w:val="009F3E86"/>
    <w:rsid w:val="009F44A3"/>
    <w:rsid w:val="009F4900"/>
    <w:rsid w:val="009F4E16"/>
    <w:rsid w:val="009F6E19"/>
    <w:rsid w:val="009F6F58"/>
    <w:rsid w:val="009F74EB"/>
    <w:rsid w:val="009F7811"/>
    <w:rsid w:val="009F7C4E"/>
    <w:rsid w:val="009F7CF1"/>
    <w:rsid w:val="009F7F5D"/>
    <w:rsid w:val="00A00BEC"/>
    <w:rsid w:val="00A00CA1"/>
    <w:rsid w:val="00A023BB"/>
    <w:rsid w:val="00A02BB6"/>
    <w:rsid w:val="00A03170"/>
    <w:rsid w:val="00A03AF8"/>
    <w:rsid w:val="00A03C6D"/>
    <w:rsid w:val="00A03F12"/>
    <w:rsid w:val="00A03FFE"/>
    <w:rsid w:val="00A04472"/>
    <w:rsid w:val="00A0493D"/>
    <w:rsid w:val="00A04DF9"/>
    <w:rsid w:val="00A0507E"/>
    <w:rsid w:val="00A05219"/>
    <w:rsid w:val="00A05B20"/>
    <w:rsid w:val="00A06649"/>
    <w:rsid w:val="00A076D7"/>
    <w:rsid w:val="00A10254"/>
    <w:rsid w:val="00A1390D"/>
    <w:rsid w:val="00A13DE1"/>
    <w:rsid w:val="00A14F23"/>
    <w:rsid w:val="00A15B4F"/>
    <w:rsid w:val="00A15C66"/>
    <w:rsid w:val="00A163D1"/>
    <w:rsid w:val="00A16709"/>
    <w:rsid w:val="00A16B71"/>
    <w:rsid w:val="00A17442"/>
    <w:rsid w:val="00A1747C"/>
    <w:rsid w:val="00A20F60"/>
    <w:rsid w:val="00A21137"/>
    <w:rsid w:val="00A2189B"/>
    <w:rsid w:val="00A218DE"/>
    <w:rsid w:val="00A22CCF"/>
    <w:rsid w:val="00A23104"/>
    <w:rsid w:val="00A2489B"/>
    <w:rsid w:val="00A2524E"/>
    <w:rsid w:val="00A2595F"/>
    <w:rsid w:val="00A26458"/>
    <w:rsid w:val="00A2671F"/>
    <w:rsid w:val="00A267B6"/>
    <w:rsid w:val="00A2721D"/>
    <w:rsid w:val="00A277BB"/>
    <w:rsid w:val="00A3153F"/>
    <w:rsid w:val="00A315C3"/>
    <w:rsid w:val="00A317C1"/>
    <w:rsid w:val="00A31863"/>
    <w:rsid w:val="00A32AB5"/>
    <w:rsid w:val="00A32CC0"/>
    <w:rsid w:val="00A333A1"/>
    <w:rsid w:val="00A333F1"/>
    <w:rsid w:val="00A33FA8"/>
    <w:rsid w:val="00A34927"/>
    <w:rsid w:val="00A34D17"/>
    <w:rsid w:val="00A359BB"/>
    <w:rsid w:val="00A35DB1"/>
    <w:rsid w:val="00A3610E"/>
    <w:rsid w:val="00A36793"/>
    <w:rsid w:val="00A36CE4"/>
    <w:rsid w:val="00A36EEF"/>
    <w:rsid w:val="00A36FE8"/>
    <w:rsid w:val="00A3748A"/>
    <w:rsid w:val="00A37D24"/>
    <w:rsid w:val="00A40EFB"/>
    <w:rsid w:val="00A45054"/>
    <w:rsid w:val="00A45248"/>
    <w:rsid w:val="00A45D95"/>
    <w:rsid w:val="00A4602D"/>
    <w:rsid w:val="00A4651A"/>
    <w:rsid w:val="00A4666B"/>
    <w:rsid w:val="00A46B07"/>
    <w:rsid w:val="00A46C9C"/>
    <w:rsid w:val="00A46E31"/>
    <w:rsid w:val="00A471AD"/>
    <w:rsid w:val="00A47BE9"/>
    <w:rsid w:val="00A50CD9"/>
    <w:rsid w:val="00A50CDC"/>
    <w:rsid w:val="00A517F2"/>
    <w:rsid w:val="00A53ADB"/>
    <w:rsid w:val="00A53B12"/>
    <w:rsid w:val="00A547BE"/>
    <w:rsid w:val="00A550A6"/>
    <w:rsid w:val="00A55289"/>
    <w:rsid w:val="00A55F0A"/>
    <w:rsid w:val="00A55FC2"/>
    <w:rsid w:val="00A560F0"/>
    <w:rsid w:val="00A56993"/>
    <w:rsid w:val="00A57FA9"/>
    <w:rsid w:val="00A602BC"/>
    <w:rsid w:val="00A60318"/>
    <w:rsid w:val="00A60451"/>
    <w:rsid w:val="00A60688"/>
    <w:rsid w:val="00A6102F"/>
    <w:rsid w:val="00A61273"/>
    <w:rsid w:val="00A61399"/>
    <w:rsid w:val="00A61DF5"/>
    <w:rsid w:val="00A62653"/>
    <w:rsid w:val="00A6321E"/>
    <w:rsid w:val="00A637D2"/>
    <w:rsid w:val="00A63A8E"/>
    <w:rsid w:val="00A64949"/>
    <w:rsid w:val="00A6495E"/>
    <w:rsid w:val="00A64D87"/>
    <w:rsid w:val="00A64E34"/>
    <w:rsid w:val="00A6536F"/>
    <w:rsid w:val="00A65843"/>
    <w:rsid w:val="00A65C54"/>
    <w:rsid w:val="00A664D5"/>
    <w:rsid w:val="00A66AFC"/>
    <w:rsid w:val="00A66C5E"/>
    <w:rsid w:val="00A67AB2"/>
    <w:rsid w:val="00A70351"/>
    <w:rsid w:val="00A7214D"/>
    <w:rsid w:val="00A737CE"/>
    <w:rsid w:val="00A73F0D"/>
    <w:rsid w:val="00A743AB"/>
    <w:rsid w:val="00A7472E"/>
    <w:rsid w:val="00A750E7"/>
    <w:rsid w:val="00A762A9"/>
    <w:rsid w:val="00A767A8"/>
    <w:rsid w:val="00A77C2B"/>
    <w:rsid w:val="00A793A3"/>
    <w:rsid w:val="00A80647"/>
    <w:rsid w:val="00A81A59"/>
    <w:rsid w:val="00A8233F"/>
    <w:rsid w:val="00A8258A"/>
    <w:rsid w:val="00A828B7"/>
    <w:rsid w:val="00A82BBF"/>
    <w:rsid w:val="00A831D0"/>
    <w:rsid w:val="00A84092"/>
    <w:rsid w:val="00A846A3"/>
    <w:rsid w:val="00A8563C"/>
    <w:rsid w:val="00A85690"/>
    <w:rsid w:val="00A857B5"/>
    <w:rsid w:val="00A86109"/>
    <w:rsid w:val="00A86E95"/>
    <w:rsid w:val="00A8727B"/>
    <w:rsid w:val="00A87A57"/>
    <w:rsid w:val="00A901B2"/>
    <w:rsid w:val="00A901FD"/>
    <w:rsid w:val="00A90253"/>
    <w:rsid w:val="00A90525"/>
    <w:rsid w:val="00A90FF6"/>
    <w:rsid w:val="00A912B4"/>
    <w:rsid w:val="00A915CF"/>
    <w:rsid w:val="00A9299C"/>
    <w:rsid w:val="00A936F1"/>
    <w:rsid w:val="00A9381C"/>
    <w:rsid w:val="00A949A3"/>
    <w:rsid w:val="00A95162"/>
    <w:rsid w:val="00A958DC"/>
    <w:rsid w:val="00A9592B"/>
    <w:rsid w:val="00A95DCD"/>
    <w:rsid w:val="00A973CA"/>
    <w:rsid w:val="00A976A3"/>
    <w:rsid w:val="00A97890"/>
    <w:rsid w:val="00A97C05"/>
    <w:rsid w:val="00AA14D8"/>
    <w:rsid w:val="00AA2495"/>
    <w:rsid w:val="00AA30BA"/>
    <w:rsid w:val="00AA3CE1"/>
    <w:rsid w:val="00AA55A6"/>
    <w:rsid w:val="00AA5699"/>
    <w:rsid w:val="00AA685A"/>
    <w:rsid w:val="00AA75BC"/>
    <w:rsid w:val="00AA7826"/>
    <w:rsid w:val="00AA7F95"/>
    <w:rsid w:val="00AB0055"/>
    <w:rsid w:val="00AB0561"/>
    <w:rsid w:val="00AB09D2"/>
    <w:rsid w:val="00AB0D1C"/>
    <w:rsid w:val="00AB1840"/>
    <w:rsid w:val="00AB1FD8"/>
    <w:rsid w:val="00AB2348"/>
    <w:rsid w:val="00AB460A"/>
    <w:rsid w:val="00AB502D"/>
    <w:rsid w:val="00AB60EE"/>
    <w:rsid w:val="00AB68A5"/>
    <w:rsid w:val="00AB6908"/>
    <w:rsid w:val="00AB6AB6"/>
    <w:rsid w:val="00AB6E56"/>
    <w:rsid w:val="00AB6E5C"/>
    <w:rsid w:val="00AB750A"/>
    <w:rsid w:val="00AC0B11"/>
    <w:rsid w:val="00AC14F5"/>
    <w:rsid w:val="00AC22C0"/>
    <w:rsid w:val="00AC28CA"/>
    <w:rsid w:val="00AC34BA"/>
    <w:rsid w:val="00AC361D"/>
    <w:rsid w:val="00AC363D"/>
    <w:rsid w:val="00AC4466"/>
    <w:rsid w:val="00AC4948"/>
    <w:rsid w:val="00AC524F"/>
    <w:rsid w:val="00AC57F5"/>
    <w:rsid w:val="00AC5F0B"/>
    <w:rsid w:val="00AC6398"/>
    <w:rsid w:val="00AC650E"/>
    <w:rsid w:val="00AC71F5"/>
    <w:rsid w:val="00AD00FC"/>
    <w:rsid w:val="00AD02B1"/>
    <w:rsid w:val="00AD056A"/>
    <w:rsid w:val="00AD0D9F"/>
    <w:rsid w:val="00AD0FA2"/>
    <w:rsid w:val="00AD1403"/>
    <w:rsid w:val="00AD15E3"/>
    <w:rsid w:val="00AD2B06"/>
    <w:rsid w:val="00AD52FD"/>
    <w:rsid w:val="00AD5E52"/>
    <w:rsid w:val="00AD67C9"/>
    <w:rsid w:val="00AD6870"/>
    <w:rsid w:val="00AD78DF"/>
    <w:rsid w:val="00AE01E1"/>
    <w:rsid w:val="00AE01F5"/>
    <w:rsid w:val="00AE0EB5"/>
    <w:rsid w:val="00AE1A45"/>
    <w:rsid w:val="00AE205F"/>
    <w:rsid w:val="00AE2BA0"/>
    <w:rsid w:val="00AE2C81"/>
    <w:rsid w:val="00AE3201"/>
    <w:rsid w:val="00AE3213"/>
    <w:rsid w:val="00AE3FD2"/>
    <w:rsid w:val="00AE4DD8"/>
    <w:rsid w:val="00AE588F"/>
    <w:rsid w:val="00AE69FA"/>
    <w:rsid w:val="00AE74BB"/>
    <w:rsid w:val="00AE7A72"/>
    <w:rsid w:val="00AE7B86"/>
    <w:rsid w:val="00AF1CE5"/>
    <w:rsid w:val="00AF20F4"/>
    <w:rsid w:val="00AF21B9"/>
    <w:rsid w:val="00AF22FA"/>
    <w:rsid w:val="00AF42C5"/>
    <w:rsid w:val="00AF44C7"/>
    <w:rsid w:val="00AF47F0"/>
    <w:rsid w:val="00AF4C73"/>
    <w:rsid w:val="00AF5BB4"/>
    <w:rsid w:val="00AF5DA6"/>
    <w:rsid w:val="00AF633C"/>
    <w:rsid w:val="00AF67C9"/>
    <w:rsid w:val="00AF7F4E"/>
    <w:rsid w:val="00B00BC9"/>
    <w:rsid w:val="00B026AF"/>
    <w:rsid w:val="00B02C04"/>
    <w:rsid w:val="00B03905"/>
    <w:rsid w:val="00B041D5"/>
    <w:rsid w:val="00B04B0C"/>
    <w:rsid w:val="00B04CEE"/>
    <w:rsid w:val="00B053C8"/>
    <w:rsid w:val="00B07A9B"/>
    <w:rsid w:val="00B107FB"/>
    <w:rsid w:val="00B10C5B"/>
    <w:rsid w:val="00B10CD5"/>
    <w:rsid w:val="00B112E4"/>
    <w:rsid w:val="00B1139C"/>
    <w:rsid w:val="00B1141B"/>
    <w:rsid w:val="00B11508"/>
    <w:rsid w:val="00B11CBD"/>
    <w:rsid w:val="00B12870"/>
    <w:rsid w:val="00B12CDE"/>
    <w:rsid w:val="00B13CC1"/>
    <w:rsid w:val="00B13E51"/>
    <w:rsid w:val="00B141D7"/>
    <w:rsid w:val="00B15157"/>
    <w:rsid w:val="00B16958"/>
    <w:rsid w:val="00B16C73"/>
    <w:rsid w:val="00B17EBA"/>
    <w:rsid w:val="00B20109"/>
    <w:rsid w:val="00B20E2D"/>
    <w:rsid w:val="00B22443"/>
    <w:rsid w:val="00B225A7"/>
    <w:rsid w:val="00B2283C"/>
    <w:rsid w:val="00B239DE"/>
    <w:rsid w:val="00B23E35"/>
    <w:rsid w:val="00B24148"/>
    <w:rsid w:val="00B2557A"/>
    <w:rsid w:val="00B25C5A"/>
    <w:rsid w:val="00B2613C"/>
    <w:rsid w:val="00B26222"/>
    <w:rsid w:val="00B270E0"/>
    <w:rsid w:val="00B306A7"/>
    <w:rsid w:val="00B30844"/>
    <w:rsid w:val="00B30857"/>
    <w:rsid w:val="00B30EE0"/>
    <w:rsid w:val="00B31D8D"/>
    <w:rsid w:val="00B31EA0"/>
    <w:rsid w:val="00B31EAC"/>
    <w:rsid w:val="00B344F6"/>
    <w:rsid w:val="00B3597C"/>
    <w:rsid w:val="00B3606A"/>
    <w:rsid w:val="00B3652F"/>
    <w:rsid w:val="00B3678E"/>
    <w:rsid w:val="00B370EB"/>
    <w:rsid w:val="00B37BB7"/>
    <w:rsid w:val="00B37EF2"/>
    <w:rsid w:val="00B400DE"/>
    <w:rsid w:val="00B40423"/>
    <w:rsid w:val="00B4058E"/>
    <w:rsid w:val="00B40630"/>
    <w:rsid w:val="00B40680"/>
    <w:rsid w:val="00B40BFC"/>
    <w:rsid w:val="00B40C47"/>
    <w:rsid w:val="00B411FB"/>
    <w:rsid w:val="00B418A2"/>
    <w:rsid w:val="00B419C6"/>
    <w:rsid w:val="00B41E21"/>
    <w:rsid w:val="00B42CBE"/>
    <w:rsid w:val="00B42E39"/>
    <w:rsid w:val="00B43C35"/>
    <w:rsid w:val="00B43CB0"/>
    <w:rsid w:val="00B4451F"/>
    <w:rsid w:val="00B44575"/>
    <w:rsid w:val="00B44ABF"/>
    <w:rsid w:val="00B450FE"/>
    <w:rsid w:val="00B454DF"/>
    <w:rsid w:val="00B4676B"/>
    <w:rsid w:val="00B474E5"/>
    <w:rsid w:val="00B47D1F"/>
    <w:rsid w:val="00B5005F"/>
    <w:rsid w:val="00B503C2"/>
    <w:rsid w:val="00B50F4B"/>
    <w:rsid w:val="00B519E2"/>
    <w:rsid w:val="00B5238D"/>
    <w:rsid w:val="00B527CC"/>
    <w:rsid w:val="00B52860"/>
    <w:rsid w:val="00B52987"/>
    <w:rsid w:val="00B52E48"/>
    <w:rsid w:val="00B5467E"/>
    <w:rsid w:val="00B56DB3"/>
    <w:rsid w:val="00B573BF"/>
    <w:rsid w:val="00B57735"/>
    <w:rsid w:val="00B57D00"/>
    <w:rsid w:val="00B57D90"/>
    <w:rsid w:val="00B60925"/>
    <w:rsid w:val="00B610DD"/>
    <w:rsid w:val="00B6216F"/>
    <w:rsid w:val="00B62715"/>
    <w:rsid w:val="00B6305A"/>
    <w:rsid w:val="00B636C3"/>
    <w:rsid w:val="00B63A79"/>
    <w:rsid w:val="00B63E9A"/>
    <w:rsid w:val="00B6467E"/>
    <w:rsid w:val="00B64AEA"/>
    <w:rsid w:val="00B64FDF"/>
    <w:rsid w:val="00B65ED8"/>
    <w:rsid w:val="00B67D2B"/>
    <w:rsid w:val="00B701D0"/>
    <w:rsid w:val="00B70F72"/>
    <w:rsid w:val="00B71045"/>
    <w:rsid w:val="00B723A5"/>
    <w:rsid w:val="00B7372A"/>
    <w:rsid w:val="00B74C27"/>
    <w:rsid w:val="00B754D6"/>
    <w:rsid w:val="00B778D4"/>
    <w:rsid w:val="00B77C2C"/>
    <w:rsid w:val="00B807EA"/>
    <w:rsid w:val="00B80AC9"/>
    <w:rsid w:val="00B80EC9"/>
    <w:rsid w:val="00B810AB"/>
    <w:rsid w:val="00B821C4"/>
    <w:rsid w:val="00B8299D"/>
    <w:rsid w:val="00B82E24"/>
    <w:rsid w:val="00B838E0"/>
    <w:rsid w:val="00B83DAD"/>
    <w:rsid w:val="00B84296"/>
    <w:rsid w:val="00B849D1"/>
    <w:rsid w:val="00B851F3"/>
    <w:rsid w:val="00B85AAC"/>
    <w:rsid w:val="00B85DBC"/>
    <w:rsid w:val="00B85F21"/>
    <w:rsid w:val="00B863CD"/>
    <w:rsid w:val="00B86F38"/>
    <w:rsid w:val="00B90206"/>
    <w:rsid w:val="00B929DD"/>
    <w:rsid w:val="00B93065"/>
    <w:rsid w:val="00B932F5"/>
    <w:rsid w:val="00B942E6"/>
    <w:rsid w:val="00B94599"/>
    <w:rsid w:val="00B94A17"/>
    <w:rsid w:val="00B9567D"/>
    <w:rsid w:val="00B96287"/>
    <w:rsid w:val="00B9667E"/>
    <w:rsid w:val="00B96E47"/>
    <w:rsid w:val="00B97117"/>
    <w:rsid w:val="00B97C4A"/>
    <w:rsid w:val="00B97F77"/>
    <w:rsid w:val="00BA0BC2"/>
    <w:rsid w:val="00BA1888"/>
    <w:rsid w:val="00BA1E96"/>
    <w:rsid w:val="00BA246F"/>
    <w:rsid w:val="00BA2D74"/>
    <w:rsid w:val="00BA3A29"/>
    <w:rsid w:val="00BA4180"/>
    <w:rsid w:val="00BA4A5B"/>
    <w:rsid w:val="00BA4D12"/>
    <w:rsid w:val="00BA4ECB"/>
    <w:rsid w:val="00BA5781"/>
    <w:rsid w:val="00BA583F"/>
    <w:rsid w:val="00BA58E8"/>
    <w:rsid w:val="00BA5D0F"/>
    <w:rsid w:val="00BA5FFD"/>
    <w:rsid w:val="00BA6E27"/>
    <w:rsid w:val="00BA7B28"/>
    <w:rsid w:val="00BB0CD4"/>
    <w:rsid w:val="00BB21C5"/>
    <w:rsid w:val="00BB247E"/>
    <w:rsid w:val="00BB2829"/>
    <w:rsid w:val="00BB293E"/>
    <w:rsid w:val="00BB2B43"/>
    <w:rsid w:val="00BB3157"/>
    <w:rsid w:val="00BB31AF"/>
    <w:rsid w:val="00BB378D"/>
    <w:rsid w:val="00BB3DAD"/>
    <w:rsid w:val="00BB47C6"/>
    <w:rsid w:val="00BB534C"/>
    <w:rsid w:val="00BB633B"/>
    <w:rsid w:val="00BB6B61"/>
    <w:rsid w:val="00BB72D5"/>
    <w:rsid w:val="00BB79AA"/>
    <w:rsid w:val="00BC020B"/>
    <w:rsid w:val="00BC022C"/>
    <w:rsid w:val="00BC0CE5"/>
    <w:rsid w:val="00BC1A98"/>
    <w:rsid w:val="00BC1DB6"/>
    <w:rsid w:val="00BC2E63"/>
    <w:rsid w:val="00BC2F01"/>
    <w:rsid w:val="00BC441F"/>
    <w:rsid w:val="00BC4A2C"/>
    <w:rsid w:val="00BC4BFE"/>
    <w:rsid w:val="00BC5348"/>
    <w:rsid w:val="00BC55ED"/>
    <w:rsid w:val="00BC5C98"/>
    <w:rsid w:val="00BC5F26"/>
    <w:rsid w:val="00BC703D"/>
    <w:rsid w:val="00BD186D"/>
    <w:rsid w:val="00BD195E"/>
    <w:rsid w:val="00BD2008"/>
    <w:rsid w:val="00BD229B"/>
    <w:rsid w:val="00BD2665"/>
    <w:rsid w:val="00BD2DE5"/>
    <w:rsid w:val="00BD32A0"/>
    <w:rsid w:val="00BD3662"/>
    <w:rsid w:val="00BD3E52"/>
    <w:rsid w:val="00BD49FF"/>
    <w:rsid w:val="00BD7037"/>
    <w:rsid w:val="00BD7AAE"/>
    <w:rsid w:val="00BE0170"/>
    <w:rsid w:val="00BE01B1"/>
    <w:rsid w:val="00BE08A1"/>
    <w:rsid w:val="00BE0E28"/>
    <w:rsid w:val="00BE1124"/>
    <w:rsid w:val="00BE1195"/>
    <w:rsid w:val="00BE2235"/>
    <w:rsid w:val="00BE2780"/>
    <w:rsid w:val="00BE27BB"/>
    <w:rsid w:val="00BE2AD2"/>
    <w:rsid w:val="00BE3045"/>
    <w:rsid w:val="00BE459E"/>
    <w:rsid w:val="00BE4760"/>
    <w:rsid w:val="00BE5150"/>
    <w:rsid w:val="00BE56C4"/>
    <w:rsid w:val="00BE5E50"/>
    <w:rsid w:val="00BE66B3"/>
    <w:rsid w:val="00BE689A"/>
    <w:rsid w:val="00BE6C62"/>
    <w:rsid w:val="00BE712E"/>
    <w:rsid w:val="00BE77A2"/>
    <w:rsid w:val="00BF0629"/>
    <w:rsid w:val="00BF0B7E"/>
    <w:rsid w:val="00BF0CAA"/>
    <w:rsid w:val="00BF16A1"/>
    <w:rsid w:val="00BF2E08"/>
    <w:rsid w:val="00BF4211"/>
    <w:rsid w:val="00BF4D02"/>
    <w:rsid w:val="00BF5581"/>
    <w:rsid w:val="00BF5761"/>
    <w:rsid w:val="00BF5B41"/>
    <w:rsid w:val="00BF5E3A"/>
    <w:rsid w:val="00BF5FCD"/>
    <w:rsid w:val="00BF657F"/>
    <w:rsid w:val="00BF6886"/>
    <w:rsid w:val="00BF6936"/>
    <w:rsid w:val="00BF7554"/>
    <w:rsid w:val="00C01137"/>
    <w:rsid w:val="00C01234"/>
    <w:rsid w:val="00C0227A"/>
    <w:rsid w:val="00C02848"/>
    <w:rsid w:val="00C03A3A"/>
    <w:rsid w:val="00C0415B"/>
    <w:rsid w:val="00C04877"/>
    <w:rsid w:val="00C07651"/>
    <w:rsid w:val="00C07768"/>
    <w:rsid w:val="00C106AC"/>
    <w:rsid w:val="00C10980"/>
    <w:rsid w:val="00C10C0B"/>
    <w:rsid w:val="00C11EDA"/>
    <w:rsid w:val="00C1211F"/>
    <w:rsid w:val="00C13C95"/>
    <w:rsid w:val="00C13FC1"/>
    <w:rsid w:val="00C140A5"/>
    <w:rsid w:val="00C1577B"/>
    <w:rsid w:val="00C15C63"/>
    <w:rsid w:val="00C161B1"/>
    <w:rsid w:val="00C1634F"/>
    <w:rsid w:val="00C207BD"/>
    <w:rsid w:val="00C216C4"/>
    <w:rsid w:val="00C22179"/>
    <w:rsid w:val="00C23051"/>
    <w:rsid w:val="00C2322C"/>
    <w:rsid w:val="00C23A69"/>
    <w:rsid w:val="00C23EAD"/>
    <w:rsid w:val="00C23F8D"/>
    <w:rsid w:val="00C24129"/>
    <w:rsid w:val="00C24630"/>
    <w:rsid w:val="00C25E83"/>
    <w:rsid w:val="00C26A96"/>
    <w:rsid w:val="00C30203"/>
    <w:rsid w:val="00C30420"/>
    <w:rsid w:val="00C30B71"/>
    <w:rsid w:val="00C316AE"/>
    <w:rsid w:val="00C326A1"/>
    <w:rsid w:val="00C327EE"/>
    <w:rsid w:val="00C33293"/>
    <w:rsid w:val="00C336E8"/>
    <w:rsid w:val="00C34580"/>
    <w:rsid w:val="00C34CCC"/>
    <w:rsid w:val="00C356C9"/>
    <w:rsid w:val="00C35885"/>
    <w:rsid w:val="00C35C9A"/>
    <w:rsid w:val="00C361F4"/>
    <w:rsid w:val="00C36F5B"/>
    <w:rsid w:val="00C37176"/>
    <w:rsid w:val="00C373B3"/>
    <w:rsid w:val="00C4002D"/>
    <w:rsid w:val="00C4053C"/>
    <w:rsid w:val="00C4063B"/>
    <w:rsid w:val="00C407FF"/>
    <w:rsid w:val="00C40ACA"/>
    <w:rsid w:val="00C40E3C"/>
    <w:rsid w:val="00C414B7"/>
    <w:rsid w:val="00C42D9E"/>
    <w:rsid w:val="00C44CFB"/>
    <w:rsid w:val="00C44F78"/>
    <w:rsid w:val="00C45258"/>
    <w:rsid w:val="00C45267"/>
    <w:rsid w:val="00C4581D"/>
    <w:rsid w:val="00C45888"/>
    <w:rsid w:val="00C460A9"/>
    <w:rsid w:val="00C461DF"/>
    <w:rsid w:val="00C4769E"/>
    <w:rsid w:val="00C47728"/>
    <w:rsid w:val="00C47E97"/>
    <w:rsid w:val="00C517CA"/>
    <w:rsid w:val="00C519BB"/>
    <w:rsid w:val="00C521E2"/>
    <w:rsid w:val="00C5251E"/>
    <w:rsid w:val="00C526C7"/>
    <w:rsid w:val="00C530D1"/>
    <w:rsid w:val="00C53573"/>
    <w:rsid w:val="00C536D8"/>
    <w:rsid w:val="00C538D9"/>
    <w:rsid w:val="00C53D70"/>
    <w:rsid w:val="00C540E0"/>
    <w:rsid w:val="00C54BE8"/>
    <w:rsid w:val="00C54D9C"/>
    <w:rsid w:val="00C557CC"/>
    <w:rsid w:val="00C558CC"/>
    <w:rsid w:val="00C5699C"/>
    <w:rsid w:val="00C56F79"/>
    <w:rsid w:val="00C57D26"/>
    <w:rsid w:val="00C61221"/>
    <w:rsid w:val="00C61639"/>
    <w:rsid w:val="00C61DC0"/>
    <w:rsid w:val="00C624B6"/>
    <w:rsid w:val="00C6250A"/>
    <w:rsid w:val="00C63D99"/>
    <w:rsid w:val="00C63EC4"/>
    <w:rsid w:val="00C645E5"/>
    <w:rsid w:val="00C65FAA"/>
    <w:rsid w:val="00C666A5"/>
    <w:rsid w:val="00C66D1C"/>
    <w:rsid w:val="00C671D2"/>
    <w:rsid w:val="00C677F6"/>
    <w:rsid w:val="00C71562"/>
    <w:rsid w:val="00C7223D"/>
    <w:rsid w:val="00C7243F"/>
    <w:rsid w:val="00C7267F"/>
    <w:rsid w:val="00C7308C"/>
    <w:rsid w:val="00C7331D"/>
    <w:rsid w:val="00C736F1"/>
    <w:rsid w:val="00C73DEA"/>
    <w:rsid w:val="00C73FA8"/>
    <w:rsid w:val="00C74B05"/>
    <w:rsid w:val="00C76852"/>
    <w:rsid w:val="00C7689C"/>
    <w:rsid w:val="00C76A07"/>
    <w:rsid w:val="00C76C25"/>
    <w:rsid w:val="00C76FC3"/>
    <w:rsid w:val="00C7796B"/>
    <w:rsid w:val="00C80AF3"/>
    <w:rsid w:val="00C81CC4"/>
    <w:rsid w:val="00C81DE5"/>
    <w:rsid w:val="00C82396"/>
    <w:rsid w:val="00C823A4"/>
    <w:rsid w:val="00C82A4B"/>
    <w:rsid w:val="00C82FB8"/>
    <w:rsid w:val="00C832B3"/>
    <w:rsid w:val="00C836BF"/>
    <w:rsid w:val="00C83D2E"/>
    <w:rsid w:val="00C84E88"/>
    <w:rsid w:val="00C84ED8"/>
    <w:rsid w:val="00C84F91"/>
    <w:rsid w:val="00C85508"/>
    <w:rsid w:val="00C857FF"/>
    <w:rsid w:val="00C85914"/>
    <w:rsid w:val="00C865A7"/>
    <w:rsid w:val="00C87C84"/>
    <w:rsid w:val="00C87D49"/>
    <w:rsid w:val="00C87E89"/>
    <w:rsid w:val="00C902B8"/>
    <w:rsid w:val="00C90772"/>
    <w:rsid w:val="00C90893"/>
    <w:rsid w:val="00C90C04"/>
    <w:rsid w:val="00C93711"/>
    <w:rsid w:val="00C93DEF"/>
    <w:rsid w:val="00C93EA4"/>
    <w:rsid w:val="00C94641"/>
    <w:rsid w:val="00C959A1"/>
    <w:rsid w:val="00C95A9C"/>
    <w:rsid w:val="00C974A6"/>
    <w:rsid w:val="00C977B4"/>
    <w:rsid w:val="00C978B0"/>
    <w:rsid w:val="00C97B45"/>
    <w:rsid w:val="00CA068E"/>
    <w:rsid w:val="00CA0A51"/>
    <w:rsid w:val="00CA0AA4"/>
    <w:rsid w:val="00CA1027"/>
    <w:rsid w:val="00CA1377"/>
    <w:rsid w:val="00CA20B5"/>
    <w:rsid w:val="00CA2B80"/>
    <w:rsid w:val="00CA2E23"/>
    <w:rsid w:val="00CA4971"/>
    <w:rsid w:val="00CA531E"/>
    <w:rsid w:val="00CA5944"/>
    <w:rsid w:val="00CA5F39"/>
    <w:rsid w:val="00CA5F47"/>
    <w:rsid w:val="00CA6041"/>
    <w:rsid w:val="00CA6C2B"/>
    <w:rsid w:val="00CA6C32"/>
    <w:rsid w:val="00CA6EDE"/>
    <w:rsid w:val="00CB00AC"/>
    <w:rsid w:val="00CB0552"/>
    <w:rsid w:val="00CB0639"/>
    <w:rsid w:val="00CB1137"/>
    <w:rsid w:val="00CB126B"/>
    <w:rsid w:val="00CB22BC"/>
    <w:rsid w:val="00CB34F5"/>
    <w:rsid w:val="00CB3A96"/>
    <w:rsid w:val="00CB4AE2"/>
    <w:rsid w:val="00CB5918"/>
    <w:rsid w:val="00CB76D7"/>
    <w:rsid w:val="00CB7AC5"/>
    <w:rsid w:val="00CC02E4"/>
    <w:rsid w:val="00CC0677"/>
    <w:rsid w:val="00CC1972"/>
    <w:rsid w:val="00CC274D"/>
    <w:rsid w:val="00CC327F"/>
    <w:rsid w:val="00CC32BB"/>
    <w:rsid w:val="00CC32F2"/>
    <w:rsid w:val="00CC336B"/>
    <w:rsid w:val="00CC363B"/>
    <w:rsid w:val="00CC37F3"/>
    <w:rsid w:val="00CC3ADB"/>
    <w:rsid w:val="00CC3FCD"/>
    <w:rsid w:val="00CC4413"/>
    <w:rsid w:val="00CC455D"/>
    <w:rsid w:val="00CC4636"/>
    <w:rsid w:val="00CC4759"/>
    <w:rsid w:val="00CC5837"/>
    <w:rsid w:val="00CC69A9"/>
    <w:rsid w:val="00CC6A4A"/>
    <w:rsid w:val="00CC7A09"/>
    <w:rsid w:val="00CC7C6E"/>
    <w:rsid w:val="00CC7FA8"/>
    <w:rsid w:val="00CD00A6"/>
    <w:rsid w:val="00CD0307"/>
    <w:rsid w:val="00CD1783"/>
    <w:rsid w:val="00CD1C12"/>
    <w:rsid w:val="00CD381F"/>
    <w:rsid w:val="00CD3CC8"/>
    <w:rsid w:val="00CD41E2"/>
    <w:rsid w:val="00CD47DE"/>
    <w:rsid w:val="00CD4831"/>
    <w:rsid w:val="00CD496E"/>
    <w:rsid w:val="00CD498D"/>
    <w:rsid w:val="00CD4C85"/>
    <w:rsid w:val="00CD5AE3"/>
    <w:rsid w:val="00CD5C1D"/>
    <w:rsid w:val="00CD6756"/>
    <w:rsid w:val="00CD679E"/>
    <w:rsid w:val="00CD706A"/>
    <w:rsid w:val="00CE0929"/>
    <w:rsid w:val="00CE0F8C"/>
    <w:rsid w:val="00CE13E6"/>
    <w:rsid w:val="00CE1B38"/>
    <w:rsid w:val="00CE1C50"/>
    <w:rsid w:val="00CE20D8"/>
    <w:rsid w:val="00CE2CC0"/>
    <w:rsid w:val="00CE327E"/>
    <w:rsid w:val="00CE3737"/>
    <w:rsid w:val="00CE4159"/>
    <w:rsid w:val="00CE4D99"/>
    <w:rsid w:val="00CE4EA2"/>
    <w:rsid w:val="00CE50F4"/>
    <w:rsid w:val="00CE59FD"/>
    <w:rsid w:val="00CE5EC2"/>
    <w:rsid w:val="00CE65FF"/>
    <w:rsid w:val="00CE6883"/>
    <w:rsid w:val="00CE6CAD"/>
    <w:rsid w:val="00CE738F"/>
    <w:rsid w:val="00CE7896"/>
    <w:rsid w:val="00CF0281"/>
    <w:rsid w:val="00CF02E7"/>
    <w:rsid w:val="00CF0B89"/>
    <w:rsid w:val="00CF12F1"/>
    <w:rsid w:val="00CF1F5A"/>
    <w:rsid w:val="00CF2DEC"/>
    <w:rsid w:val="00CF4FDE"/>
    <w:rsid w:val="00CF58C4"/>
    <w:rsid w:val="00CF59A9"/>
    <w:rsid w:val="00CF6ADC"/>
    <w:rsid w:val="00CF7D67"/>
    <w:rsid w:val="00CF7EBA"/>
    <w:rsid w:val="00D0025C"/>
    <w:rsid w:val="00D00EB6"/>
    <w:rsid w:val="00D01632"/>
    <w:rsid w:val="00D01C26"/>
    <w:rsid w:val="00D01DC8"/>
    <w:rsid w:val="00D025F3"/>
    <w:rsid w:val="00D0289A"/>
    <w:rsid w:val="00D037EB"/>
    <w:rsid w:val="00D04BC2"/>
    <w:rsid w:val="00D053C4"/>
    <w:rsid w:val="00D06292"/>
    <w:rsid w:val="00D06318"/>
    <w:rsid w:val="00D06C97"/>
    <w:rsid w:val="00D070E3"/>
    <w:rsid w:val="00D07444"/>
    <w:rsid w:val="00D0765B"/>
    <w:rsid w:val="00D109A8"/>
    <w:rsid w:val="00D11E44"/>
    <w:rsid w:val="00D11EA4"/>
    <w:rsid w:val="00D122B4"/>
    <w:rsid w:val="00D1245F"/>
    <w:rsid w:val="00D12C15"/>
    <w:rsid w:val="00D12D35"/>
    <w:rsid w:val="00D13A67"/>
    <w:rsid w:val="00D14C23"/>
    <w:rsid w:val="00D14D19"/>
    <w:rsid w:val="00D1509E"/>
    <w:rsid w:val="00D15708"/>
    <w:rsid w:val="00D15936"/>
    <w:rsid w:val="00D15BC5"/>
    <w:rsid w:val="00D163E8"/>
    <w:rsid w:val="00D16814"/>
    <w:rsid w:val="00D16A15"/>
    <w:rsid w:val="00D16F5B"/>
    <w:rsid w:val="00D171F2"/>
    <w:rsid w:val="00D17861"/>
    <w:rsid w:val="00D20DDF"/>
    <w:rsid w:val="00D21A69"/>
    <w:rsid w:val="00D229CD"/>
    <w:rsid w:val="00D22B09"/>
    <w:rsid w:val="00D22C83"/>
    <w:rsid w:val="00D22E87"/>
    <w:rsid w:val="00D23A01"/>
    <w:rsid w:val="00D242F9"/>
    <w:rsid w:val="00D244A7"/>
    <w:rsid w:val="00D2450D"/>
    <w:rsid w:val="00D24AA5"/>
    <w:rsid w:val="00D26707"/>
    <w:rsid w:val="00D26F02"/>
    <w:rsid w:val="00D274ED"/>
    <w:rsid w:val="00D27DDF"/>
    <w:rsid w:val="00D30762"/>
    <w:rsid w:val="00D30B97"/>
    <w:rsid w:val="00D31357"/>
    <w:rsid w:val="00D31363"/>
    <w:rsid w:val="00D31574"/>
    <w:rsid w:val="00D31610"/>
    <w:rsid w:val="00D3162F"/>
    <w:rsid w:val="00D31962"/>
    <w:rsid w:val="00D32554"/>
    <w:rsid w:val="00D329C6"/>
    <w:rsid w:val="00D3399B"/>
    <w:rsid w:val="00D344AA"/>
    <w:rsid w:val="00D34D46"/>
    <w:rsid w:val="00D35117"/>
    <w:rsid w:val="00D358C2"/>
    <w:rsid w:val="00D36050"/>
    <w:rsid w:val="00D36071"/>
    <w:rsid w:val="00D363A9"/>
    <w:rsid w:val="00D3690B"/>
    <w:rsid w:val="00D36E82"/>
    <w:rsid w:val="00D376F1"/>
    <w:rsid w:val="00D3787E"/>
    <w:rsid w:val="00D37A6F"/>
    <w:rsid w:val="00D37CED"/>
    <w:rsid w:val="00D40577"/>
    <w:rsid w:val="00D41233"/>
    <w:rsid w:val="00D41658"/>
    <w:rsid w:val="00D41CEE"/>
    <w:rsid w:val="00D42111"/>
    <w:rsid w:val="00D43491"/>
    <w:rsid w:val="00D43932"/>
    <w:rsid w:val="00D43DB0"/>
    <w:rsid w:val="00D43EB7"/>
    <w:rsid w:val="00D440CD"/>
    <w:rsid w:val="00D45E27"/>
    <w:rsid w:val="00D46DDD"/>
    <w:rsid w:val="00D47AEA"/>
    <w:rsid w:val="00D47F99"/>
    <w:rsid w:val="00D50D55"/>
    <w:rsid w:val="00D5235C"/>
    <w:rsid w:val="00D552A6"/>
    <w:rsid w:val="00D566D9"/>
    <w:rsid w:val="00D56E10"/>
    <w:rsid w:val="00D5765F"/>
    <w:rsid w:val="00D57CEB"/>
    <w:rsid w:val="00D61069"/>
    <w:rsid w:val="00D62E8D"/>
    <w:rsid w:val="00D63CC8"/>
    <w:rsid w:val="00D6458C"/>
    <w:rsid w:val="00D6480A"/>
    <w:rsid w:val="00D6489A"/>
    <w:rsid w:val="00D6509F"/>
    <w:rsid w:val="00D653FF"/>
    <w:rsid w:val="00D66575"/>
    <w:rsid w:val="00D668D8"/>
    <w:rsid w:val="00D67464"/>
    <w:rsid w:val="00D67A98"/>
    <w:rsid w:val="00D67E21"/>
    <w:rsid w:val="00D67FAC"/>
    <w:rsid w:val="00D701C2"/>
    <w:rsid w:val="00D7179C"/>
    <w:rsid w:val="00D718A4"/>
    <w:rsid w:val="00D71918"/>
    <w:rsid w:val="00D729CF"/>
    <w:rsid w:val="00D72F06"/>
    <w:rsid w:val="00D73102"/>
    <w:rsid w:val="00D736E9"/>
    <w:rsid w:val="00D73BDE"/>
    <w:rsid w:val="00D7410A"/>
    <w:rsid w:val="00D7673A"/>
    <w:rsid w:val="00D76F7B"/>
    <w:rsid w:val="00D77209"/>
    <w:rsid w:val="00D8042E"/>
    <w:rsid w:val="00D80631"/>
    <w:rsid w:val="00D80A47"/>
    <w:rsid w:val="00D8219E"/>
    <w:rsid w:val="00D832FC"/>
    <w:rsid w:val="00D83A0F"/>
    <w:rsid w:val="00D83D0B"/>
    <w:rsid w:val="00D841BD"/>
    <w:rsid w:val="00D84595"/>
    <w:rsid w:val="00D846C5"/>
    <w:rsid w:val="00D852C1"/>
    <w:rsid w:val="00D864A7"/>
    <w:rsid w:val="00D867BC"/>
    <w:rsid w:val="00D87337"/>
    <w:rsid w:val="00D87374"/>
    <w:rsid w:val="00D90701"/>
    <w:rsid w:val="00D90FBA"/>
    <w:rsid w:val="00D91B58"/>
    <w:rsid w:val="00D92160"/>
    <w:rsid w:val="00D9236D"/>
    <w:rsid w:val="00D93E92"/>
    <w:rsid w:val="00D93F50"/>
    <w:rsid w:val="00D94CC1"/>
    <w:rsid w:val="00D9594D"/>
    <w:rsid w:val="00D97068"/>
    <w:rsid w:val="00DA084F"/>
    <w:rsid w:val="00DA1203"/>
    <w:rsid w:val="00DA19B2"/>
    <w:rsid w:val="00DA1CD9"/>
    <w:rsid w:val="00DA1FEA"/>
    <w:rsid w:val="00DA229A"/>
    <w:rsid w:val="00DA28B9"/>
    <w:rsid w:val="00DA2C3A"/>
    <w:rsid w:val="00DA3012"/>
    <w:rsid w:val="00DA321D"/>
    <w:rsid w:val="00DA386C"/>
    <w:rsid w:val="00DA3D90"/>
    <w:rsid w:val="00DA6153"/>
    <w:rsid w:val="00DA641A"/>
    <w:rsid w:val="00DA72C6"/>
    <w:rsid w:val="00DA76C6"/>
    <w:rsid w:val="00DA772C"/>
    <w:rsid w:val="00DA775D"/>
    <w:rsid w:val="00DB000C"/>
    <w:rsid w:val="00DB09A9"/>
    <w:rsid w:val="00DB0B30"/>
    <w:rsid w:val="00DB0D5B"/>
    <w:rsid w:val="00DB13A2"/>
    <w:rsid w:val="00DB189F"/>
    <w:rsid w:val="00DB202D"/>
    <w:rsid w:val="00DB21D0"/>
    <w:rsid w:val="00DB227D"/>
    <w:rsid w:val="00DB2D62"/>
    <w:rsid w:val="00DB3032"/>
    <w:rsid w:val="00DB316A"/>
    <w:rsid w:val="00DB49F2"/>
    <w:rsid w:val="00DB52ED"/>
    <w:rsid w:val="00DB6FE4"/>
    <w:rsid w:val="00DB703A"/>
    <w:rsid w:val="00DB708D"/>
    <w:rsid w:val="00DB77DF"/>
    <w:rsid w:val="00DB7B75"/>
    <w:rsid w:val="00DB7F44"/>
    <w:rsid w:val="00DC0A50"/>
    <w:rsid w:val="00DC0E3F"/>
    <w:rsid w:val="00DC1181"/>
    <w:rsid w:val="00DC14EE"/>
    <w:rsid w:val="00DC18CC"/>
    <w:rsid w:val="00DC211B"/>
    <w:rsid w:val="00DC3794"/>
    <w:rsid w:val="00DC441D"/>
    <w:rsid w:val="00DC5170"/>
    <w:rsid w:val="00DC62D5"/>
    <w:rsid w:val="00DC6493"/>
    <w:rsid w:val="00DC6B56"/>
    <w:rsid w:val="00DC7C85"/>
    <w:rsid w:val="00DD06C1"/>
    <w:rsid w:val="00DD06C9"/>
    <w:rsid w:val="00DD13B0"/>
    <w:rsid w:val="00DD1445"/>
    <w:rsid w:val="00DD1C20"/>
    <w:rsid w:val="00DD2223"/>
    <w:rsid w:val="00DD2984"/>
    <w:rsid w:val="00DD2B6E"/>
    <w:rsid w:val="00DD2E83"/>
    <w:rsid w:val="00DD3C99"/>
    <w:rsid w:val="00DD525E"/>
    <w:rsid w:val="00DD565B"/>
    <w:rsid w:val="00DD7C96"/>
    <w:rsid w:val="00DE019F"/>
    <w:rsid w:val="00DE151B"/>
    <w:rsid w:val="00DE1C18"/>
    <w:rsid w:val="00DE1FB4"/>
    <w:rsid w:val="00DE3CF0"/>
    <w:rsid w:val="00DE3DCB"/>
    <w:rsid w:val="00DE41E7"/>
    <w:rsid w:val="00DE505E"/>
    <w:rsid w:val="00DE55A2"/>
    <w:rsid w:val="00DE5F52"/>
    <w:rsid w:val="00DE7025"/>
    <w:rsid w:val="00DE7173"/>
    <w:rsid w:val="00DE730B"/>
    <w:rsid w:val="00DE794D"/>
    <w:rsid w:val="00DF220C"/>
    <w:rsid w:val="00DF22F1"/>
    <w:rsid w:val="00DF288D"/>
    <w:rsid w:val="00DF2A58"/>
    <w:rsid w:val="00DF32C6"/>
    <w:rsid w:val="00DF489B"/>
    <w:rsid w:val="00DF685E"/>
    <w:rsid w:val="00DF695B"/>
    <w:rsid w:val="00DF6B93"/>
    <w:rsid w:val="00DF701A"/>
    <w:rsid w:val="00DF798A"/>
    <w:rsid w:val="00DF7B73"/>
    <w:rsid w:val="00DF7C17"/>
    <w:rsid w:val="00E00924"/>
    <w:rsid w:val="00E01787"/>
    <w:rsid w:val="00E01AE1"/>
    <w:rsid w:val="00E02064"/>
    <w:rsid w:val="00E03654"/>
    <w:rsid w:val="00E03991"/>
    <w:rsid w:val="00E04D0C"/>
    <w:rsid w:val="00E058D9"/>
    <w:rsid w:val="00E07362"/>
    <w:rsid w:val="00E075E0"/>
    <w:rsid w:val="00E07A18"/>
    <w:rsid w:val="00E07C9D"/>
    <w:rsid w:val="00E1027F"/>
    <w:rsid w:val="00E1143E"/>
    <w:rsid w:val="00E11804"/>
    <w:rsid w:val="00E11D97"/>
    <w:rsid w:val="00E13F80"/>
    <w:rsid w:val="00E1440F"/>
    <w:rsid w:val="00E1529D"/>
    <w:rsid w:val="00E153E6"/>
    <w:rsid w:val="00E1591A"/>
    <w:rsid w:val="00E15D8D"/>
    <w:rsid w:val="00E15EB4"/>
    <w:rsid w:val="00E16684"/>
    <w:rsid w:val="00E16B8D"/>
    <w:rsid w:val="00E171AD"/>
    <w:rsid w:val="00E174AC"/>
    <w:rsid w:val="00E1754A"/>
    <w:rsid w:val="00E17551"/>
    <w:rsid w:val="00E2049C"/>
    <w:rsid w:val="00E20626"/>
    <w:rsid w:val="00E212B6"/>
    <w:rsid w:val="00E21748"/>
    <w:rsid w:val="00E2247B"/>
    <w:rsid w:val="00E227AE"/>
    <w:rsid w:val="00E228C5"/>
    <w:rsid w:val="00E22D96"/>
    <w:rsid w:val="00E23D73"/>
    <w:rsid w:val="00E2496A"/>
    <w:rsid w:val="00E24D25"/>
    <w:rsid w:val="00E24F93"/>
    <w:rsid w:val="00E25940"/>
    <w:rsid w:val="00E25A56"/>
    <w:rsid w:val="00E25DAB"/>
    <w:rsid w:val="00E266C4"/>
    <w:rsid w:val="00E266E6"/>
    <w:rsid w:val="00E267E8"/>
    <w:rsid w:val="00E268DA"/>
    <w:rsid w:val="00E2710B"/>
    <w:rsid w:val="00E2771F"/>
    <w:rsid w:val="00E30023"/>
    <w:rsid w:val="00E3010C"/>
    <w:rsid w:val="00E304ED"/>
    <w:rsid w:val="00E3072A"/>
    <w:rsid w:val="00E30AD2"/>
    <w:rsid w:val="00E31136"/>
    <w:rsid w:val="00E3225C"/>
    <w:rsid w:val="00E32B39"/>
    <w:rsid w:val="00E32CA2"/>
    <w:rsid w:val="00E32E12"/>
    <w:rsid w:val="00E32FBC"/>
    <w:rsid w:val="00E3308D"/>
    <w:rsid w:val="00E33889"/>
    <w:rsid w:val="00E33962"/>
    <w:rsid w:val="00E33FFA"/>
    <w:rsid w:val="00E3419B"/>
    <w:rsid w:val="00E35E09"/>
    <w:rsid w:val="00E36A17"/>
    <w:rsid w:val="00E37116"/>
    <w:rsid w:val="00E379FE"/>
    <w:rsid w:val="00E40F70"/>
    <w:rsid w:val="00E41143"/>
    <w:rsid w:val="00E41453"/>
    <w:rsid w:val="00E41C1E"/>
    <w:rsid w:val="00E41D18"/>
    <w:rsid w:val="00E421A2"/>
    <w:rsid w:val="00E42D81"/>
    <w:rsid w:val="00E432AB"/>
    <w:rsid w:val="00E4366E"/>
    <w:rsid w:val="00E436FB"/>
    <w:rsid w:val="00E4400F"/>
    <w:rsid w:val="00E441FD"/>
    <w:rsid w:val="00E44303"/>
    <w:rsid w:val="00E44ABA"/>
    <w:rsid w:val="00E44BA9"/>
    <w:rsid w:val="00E4590D"/>
    <w:rsid w:val="00E45DD7"/>
    <w:rsid w:val="00E4616E"/>
    <w:rsid w:val="00E46CE5"/>
    <w:rsid w:val="00E47160"/>
    <w:rsid w:val="00E475F0"/>
    <w:rsid w:val="00E479D1"/>
    <w:rsid w:val="00E47E08"/>
    <w:rsid w:val="00E50A32"/>
    <w:rsid w:val="00E50B67"/>
    <w:rsid w:val="00E515D6"/>
    <w:rsid w:val="00E51D87"/>
    <w:rsid w:val="00E51FB2"/>
    <w:rsid w:val="00E541CB"/>
    <w:rsid w:val="00E543C2"/>
    <w:rsid w:val="00E54738"/>
    <w:rsid w:val="00E5514C"/>
    <w:rsid w:val="00E5572F"/>
    <w:rsid w:val="00E5608A"/>
    <w:rsid w:val="00E5621E"/>
    <w:rsid w:val="00E60404"/>
    <w:rsid w:val="00E6040C"/>
    <w:rsid w:val="00E606B3"/>
    <w:rsid w:val="00E60A11"/>
    <w:rsid w:val="00E612FA"/>
    <w:rsid w:val="00E62E3B"/>
    <w:rsid w:val="00E633DC"/>
    <w:rsid w:val="00E6351C"/>
    <w:rsid w:val="00E6351D"/>
    <w:rsid w:val="00E63929"/>
    <w:rsid w:val="00E63F16"/>
    <w:rsid w:val="00E6458D"/>
    <w:rsid w:val="00E645A0"/>
    <w:rsid w:val="00E64DCC"/>
    <w:rsid w:val="00E64EE7"/>
    <w:rsid w:val="00E65167"/>
    <w:rsid w:val="00E656ED"/>
    <w:rsid w:val="00E65E61"/>
    <w:rsid w:val="00E66F3E"/>
    <w:rsid w:val="00E67737"/>
    <w:rsid w:val="00E67A90"/>
    <w:rsid w:val="00E702B4"/>
    <w:rsid w:val="00E70A8E"/>
    <w:rsid w:val="00E70C64"/>
    <w:rsid w:val="00E72EDA"/>
    <w:rsid w:val="00E72F85"/>
    <w:rsid w:val="00E737DA"/>
    <w:rsid w:val="00E74691"/>
    <w:rsid w:val="00E747FB"/>
    <w:rsid w:val="00E758D2"/>
    <w:rsid w:val="00E75DED"/>
    <w:rsid w:val="00E76640"/>
    <w:rsid w:val="00E7664C"/>
    <w:rsid w:val="00E76A6E"/>
    <w:rsid w:val="00E76BD9"/>
    <w:rsid w:val="00E8032D"/>
    <w:rsid w:val="00E804D3"/>
    <w:rsid w:val="00E80582"/>
    <w:rsid w:val="00E811FD"/>
    <w:rsid w:val="00E8292F"/>
    <w:rsid w:val="00E8316E"/>
    <w:rsid w:val="00E8318B"/>
    <w:rsid w:val="00E847F0"/>
    <w:rsid w:val="00E8497F"/>
    <w:rsid w:val="00E84BC3"/>
    <w:rsid w:val="00E85790"/>
    <w:rsid w:val="00E85793"/>
    <w:rsid w:val="00E85794"/>
    <w:rsid w:val="00E85FCD"/>
    <w:rsid w:val="00E865BF"/>
    <w:rsid w:val="00E8681F"/>
    <w:rsid w:val="00E86EFC"/>
    <w:rsid w:val="00E870F6"/>
    <w:rsid w:val="00E874C9"/>
    <w:rsid w:val="00E8753F"/>
    <w:rsid w:val="00E90F1E"/>
    <w:rsid w:val="00E9154A"/>
    <w:rsid w:val="00E915FF"/>
    <w:rsid w:val="00E916CE"/>
    <w:rsid w:val="00E92390"/>
    <w:rsid w:val="00E92395"/>
    <w:rsid w:val="00E929E7"/>
    <w:rsid w:val="00E92ECB"/>
    <w:rsid w:val="00E935A6"/>
    <w:rsid w:val="00E93F03"/>
    <w:rsid w:val="00E9495F"/>
    <w:rsid w:val="00E94FD1"/>
    <w:rsid w:val="00E958B1"/>
    <w:rsid w:val="00E964DC"/>
    <w:rsid w:val="00EA10E1"/>
    <w:rsid w:val="00EA4121"/>
    <w:rsid w:val="00EA4549"/>
    <w:rsid w:val="00EA5D06"/>
    <w:rsid w:val="00EA7B06"/>
    <w:rsid w:val="00EA7F92"/>
    <w:rsid w:val="00EB01FD"/>
    <w:rsid w:val="00EB15E8"/>
    <w:rsid w:val="00EB2AD0"/>
    <w:rsid w:val="00EB2E49"/>
    <w:rsid w:val="00EB3C54"/>
    <w:rsid w:val="00EB4175"/>
    <w:rsid w:val="00EB42F2"/>
    <w:rsid w:val="00EB54ED"/>
    <w:rsid w:val="00EB5B74"/>
    <w:rsid w:val="00EB5BA9"/>
    <w:rsid w:val="00EB6440"/>
    <w:rsid w:val="00EB65BE"/>
    <w:rsid w:val="00EB6852"/>
    <w:rsid w:val="00EB6C69"/>
    <w:rsid w:val="00EB758F"/>
    <w:rsid w:val="00EB7761"/>
    <w:rsid w:val="00EB7E21"/>
    <w:rsid w:val="00EB7EB0"/>
    <w:rsid w:val="00EC12A7"/>
    <w:rsid w:val="00EC1F4E"/>
    <w:rsid w:val="00EC2C11"/>
    <w:rsid w:val="00EC3477"/>
    <w:rsid w:val="00EC4036"/>
    <w:rsid w:val="00EC5C66"/>
    <w:rsid w:val="00EC63D4"/>
    <w:rsid w:val="00EC670E"/>
    <w:rsid w:val="00EC72AD"/>
    <w:rsid w:val="00EC7F6E"/>
    <w:rsid w:val="00ED0429"/>
    <w:rsid w:val="00ED0767"/>
    <w:rsid w:val="00ED0821"/>
    <w:rsid w:val="00ED0F42"/>
    <w:rsid w:val="00ED130E"/>
    <w:rsid w:val="00ED1ABB"/>
    <w:rsid w:val="00ED3E01"/>
    <w:rsid w:val="00ED457D"/>
    <w:rsid w:val="00ED46A1"/>
    <w:rsid w:val="00ED4D2F"/>
    <w:rsid w:val="00ED4EF1"/>
    <w:rsid w:val="00ED572D"/>
    <w:rsid w:val="00ED61E5"/>
    <w:rsid w:val="00ED64BF"/>
    <w:rsid w:val="00ED6FC4"/>
    <w:rsid w:val="00EE214F"/>
    <w:rsid w:val="00EE2160"/>
    <w:rsid w:val="00EE271F"/>
    <w:rsid w:val="00EE2A81"/>
    <w:rsid w:val="00EE304E"/>
    <w:rsid w:val="00EE3E0D"/>
    <w:rsid w:val="00EE4230"/>
    <w:rsid w:val="00EE4CD8"/>
    <w:rsid w:val="00EE5AC2"/>
    <w:rsid w:val="00EE5E6A"/>
    <w:rsid w:val="00EE608B"/>
    <w:rsid w:val="00EE70B2"/>
    <w:rsid w:val="00EF0133"/>
    <w:rsid w:val="00EF0D12"/>
    <w:rsid w:val="00EF189E"/>
    <w:rsid w:val="00EF2A0B"/>
    <w:rsid w:val="00EF35C6"/>
    <w:rsid w:val="00EF4480"/>
    <w:rsid w:val="00EF48DA"/>
    <w:rsid w:val="00EF4B6F"/>
    <w:rsid w:val="00EF4F88"/>
    <w:rsid w:val="00EF5C6F"/>
    <w:rsid w:val="00EF6085"/>
    <w:rsid w:val="00EF6429"/>
    <w:rsid w:val="00EF6F29"/>
    <w:rsid w:val="00F00828"/>
    <w:rsid w:val="00F008C0"/>
    <w:rsid w:val="00F013AB"/>
    <w:rsid w:val="00F018B1"/>
    <w:rsid w:val="00F020BF"/>
    <w:rsid w:val="00F0255F"/>
    <w:rsid w:val="00F02704"/>
    <w:rsid w:val="00F02844"/>
    <w:rsid w:val="00F03419"/>
    <w:rsid w:val="00F0351A"/>
    <w:rsid w:val="00F0548B"/>
    <w:rsid w:val="00F07244"/>
    <w:rsid w:val="00F072B3"/>
    <w:rsid w:val="00F102B1"/>
    <w:rsid w:val="00F10660"/>
    <w:rsid w:val="00F126FE"/>
    <w:rsid w:val="00F12790"/>
    <w:rsid w:val="00F13254"/>
    <w:rsid w:val="00F133A9"/>
    <w:rsid w:val="00F13428"/>
    <w:rsid w:val="00F14580"/>
    <w:rsid w:val="00F14837"/>
    <w:rsid w:val="00F161B4"/>
    <w:rsid w:val="00F164DD"/>
    <w:rsid w:val="00F16BC3"/>
    <w:rsid w:val="00F1702B"/>
    <w:rsid w:val="00F17B5C"/>
    <w:rsid w:val="00F20914"/>
    <w:rsid w:val="00F21591"/>
    <w:rsid w:val="00F21E6A"/>
    <w:rsid w:val="00F2242B"/>
    <w:rsid w:val="00F22BC5"/>
    <w:rsid w:val="00F22F26"/>
    <w:rsid w:val="00F23540"/>
    <w:rsid w:val="00F2486C"/>
    <w:rsid w:val="00F24A56"/>
    <w:rsid w:val="00F24C51"/>
    <w:rsid w:val="00F256DB"/>
    <w:rsid w:val="00F26223"/>
    <w:rsid w:val="00F264B0"/>
    <w:rsid w:val="00F2787D"/>
    <w:rsid w:val="00F27D65"/>
    <w:rsid w:val="00F304FE"/>
    <w:rsid w:val="00F30567"/>
    <w:rsid w:val="00F3107A"/>
    <w:rsid w:val="00F32C1A"/>
    <w:rsid w:val="00F32C35"/>
    <w:rsid w:val="00F32E72"/>
    <w:rsid w:val="00F337D5"/>
    <w:rsid w:val="00F34C72"/>
    <w:rsid w:val="00F35B7A"/>
    <w:rsid w:val="00F36AA6"/>
    <w:rsid w:val="00F36BD9"/>
    <w:rsid w:val="00F371E3"/>
    <w:rsid w:val="00F40483"/>
    <w:rsid w:val="00F40BA7"/>
    <w:rsid w:val="00F41AAC"/>
    <w:rsid w:val="00F41B6E"/>
    <w:rsid w:val="00F41E58"/>
    <w:rsid w:val="00F42DE6"/>
    <w:rsid w:val="00F43070"/>
    <w:rsid w:val="00F43797"/>
    <w:rsid w:val="00F43D44"/>
    <w:rsid w:val="00F453DD"/>
    <w:rsid w:val="00F45D06"/>
    <w:rsid w:val="00F46096"/>
    <w:rsid w:val="00F4634C"/>
    <w:rsid w:val="00F4709E"/>
    <w:rsid w:val="00F47403"/>
    <w:rsid w:val="00F477AB"/>
    <w:rsid w:val="00F47A66"/>
    <w:rsid w:val="00F51419"/>
    <w:rsid w:val="00F52804"/>
    <w:rsid w:val="00F52897"/>
    <w:rsid w:val="00F52B14"/>
    <w:rsid w:val="00F52FC2"/>
    <w:rsid w:val="00F54730"/>
    <w:rsid w:val="00F556A1"/>
    <w:rsid w:val="00F573A0"/>
    <w:rsid w:val="00F57DEA"/>
    <w:rsid w:val="00F57F02"/>
    <w:rsid w:val="00F60015"/>
    <w:rsid w:val="00F6022A"/>
    <w:rsid w:val="00F6092F"/>
    <w:rsid w:val="00F609EF"/>
    <w:rsid w:val="00F6100D"/>
    <w:rsid w:val="00F61879"/>
    <w:rsid w:val="00F629CE"/>
    <w:rsid w:val="00F63C66"/>
    <w:rsid w:val="00F65706"/>
    <w:rsid w:val="00F657D1"/>
    <w:rsid w:val="00F66935"/>
    <w:rsid w:val="00F66E43"/>
    <w:rsid w:val="00F671BB"/>
    <w:rsid w:val="00F67717"/>
    <w:rsid w:val="00F67CA1"/>
    <w:rsid w:val="00F67CDB"/>
    <w:rsid w:val="00F71528"/>
    <w:rsid w:val="00F726EF"/>
    <w:rsid w:val="00F72C29"/>
    <w:rsid w:val="00F72C72"/>
    <w:rsid w:val="00F7310B"/>
    <w:rsid w:val="00F73C7C"/>
    <w:rsid w:val="00F7462C"/>
    <w:rsid w:val="00F74A13"/>
    <w:rsid w:val="00F74EA4"/>
    <w:rsid w:val="00F75E54"/>
    <w:rsid w:val="00F76AA6"/>
    <w:rsid w:val="00F77716"/>
    <w:rsid w:val="00F77B6E"/>
    <w:rsid w:val="00F77F1B"/>
    <w:rsid w:val="00F80939"/>
    <w:rsid w:val="00F8094C"/>
    <w:rsid w:val="00F81D53"/>
    <w:rsid w:val="00F8239B"/>
    <w:rsid w:val="00F82444"/>
    <w:rsid w:val="00F82852"/>
    <w:rsid w:val="00F82B62"/>
    <w:rsid w:val="00F83BB1"/>
    <w:rsid w:val="00F8599D"/>
    <w:rsid w:val="00F85CDA"/>
    <w:rsid w:val="00F85EAB"/>
    <w:rsid w:val="00F90074"/>
    <w:rsid w:val="00F9182D"/>
    <w:rsid w:val="00F91893"/>
    <w:rsid w:val="00F926A8"/>
    <w:rsid w:val="00F928E1"/>
    <w:rsid w:val="00F92F80"/>
    <w:rsid w:val="00F939C9"/>
    <w:rsid w:val="00F93D2A"/>
    <w:rsid w:val="00F93E70"/>
    <w:rsid w:val="00F93F77"/>
    <w:rsid w:val="00F94245"/>
    <w:rsid w:val="00F945D4"/>
    <w:rsid w:val="00F94728"/>
    <w:rsid w:val="00F94BCA"/>
    <w:rsid w:val="00F94E80"/>
    <w:rsid w:val="00F953A2"/>
    <w:rsid w:val="00F95582"/>
    <w:rsid w:val="00F96159"/>
    <w:rsid w:val="00F96899"/>
    <w:rsid w:val="00F97A13"/>
    <w:rsid w:val="00F97E0A"/>
    <w:rsid w:val="00FA06A6"/>
    <w:rsid w:val="00FA1402"/>
    <w:rsid w:val="00FA282C"/>
    <w:rsid w:val="00FA2DFB"/>
    <w:rsid w:val="00FA3DC0"/>
    <w:rsid w:val="00FA4516"/>
    <w:rsid w:val="00FA461F"/>
    <w:rsid w:val="00FA48D8"/>
    <w:rsid w:val="00FA4B1E"/>
    <w:rsid w:val="00FA4EF8"/>
    <w:rsid w:val="00FA58FF"/>
    <w:rsid w:val="00FA5B03"/>
    <w:rsid w:val="00FA6453"/>
    <w:rsid w:val="00FA6E80"/>
    <w:rsid w:val="00FA70A2"/>
    <w:rsid w:val="00FB00EF"/>
    <w:rsid w:val="00FB05F1"/>
    <w:rsid w:val="00FB0E32"/>
    <w:rsid w:val="00FB13F1"/>
    <w:rsid w:val="00FB2484"/>
    <w:rsid w:val="00FB3396"/>
    <w:rsid w:val="00FB3486"/>
    <w:rsid w:val="00FB36AE"/>
    <w:rsid w:val="00FB37BB"/>
    <w:rsid w:val="00FB4292"/>
    <w:rsid w:val="00FB5020"/>
    <w:rsid w:val="00FB54C8"/>
    <w:rsid w:val="00FB54FF"/>
    <w:rsid w:val="00FB5D13"/>
    <w:rsid w:val="00FB6C83"/>
    <w:rsid w:val="00FB75C5"/>
    <w:rsid w:val="00FB7A05"/>
    <w:rsid w:val="00FB7EEB"/>
    <w:rsid w:val="00FC00F1"/>
    <w:rsid w:val="00FC0982"/>
    <w:rsid w:val="00FC0AB2"/>
    <w:rsid w:val="00FC139E"/>
    <w:rsid w:val="00FC2150"/>
    <w:rsid w:val="00FC28F1"/>
    <w:rsid w:val="00FC2FF9"/>
    <w:rsid w:val="00FC337B"/>
    <w:rsid w:val="00FC3679"/>
    <w:rsid w:val="00FC3C29"/>
    <w:rsid w:val="00FC5323"/>
    <w:rsid w:val="00FC6114"/>
    <w:rsid w:val="00FC6D06"/>
    <w:rsid w:val="00FC7C18"/>
    <w:rsid w:val="00FD0ED4"/>
    <w:rsid w:val="00FD1A60"/>
    <w:rsid w:val="00FD2448"/>
    <w:rsid w:val="00FD28FE"/>
    <w:rsid w:val="00FD3AAF"/>
    <w:rsid w:val="00FD43FF"/>
    <w:rsid w:val="00FD4408"/>
    <w:rsid w:val="00FD4A30"/>
    <w:rsid w:val="00FD5870"/>
    <w:rsid w:val="00FD5AF9"/>
    <w:rsid w:val="00FD5C6D"/>
    <w:rsid w:val="00FD5EBB"/>
    <w:rsid w:val="00FD66A7"/>
    <w:rsid w:val="00FD7DBA"/>
    <w:rsid w:val="00FE09E8"/>
    <w:rsid w:val="00FE1CAB"/>
    <w:rsid w:val="00FE1FB4"/>
    <w:rsid w:val="00FE2EDD"/>
    <w:rsid w:val="00FE3DE7"/>
    <w:rsid w:val="00FE3E0D"/>
    <w:rsid w:val="00FE4B1D"/>
    <w:rsid w:val="00FE4B39"/>
    <w:rsid w:val="00FE4D10"/>
    <w:rsid w:val="00FE50DA"/>
    <w:rsid w:val="00FE50E8"/>
    <w:rsid w:val="00FE53FB"/>
    <w:rsid w:val="00FE5BCE"/>
    <w:rsid w:val="00FE64A5"/>
    <w:rsid w:val="00FE7940"/>
    <w:rsid w:val="00FE7B0B"/>
    <w:rsid w:val="00FF06B3"/>
    <w:rsid w:val="00FF1433"/>
    <w:rsid w:val="00FF243A"/>
    <w:rsid w:val="00FF2C6B"/>
    <w:rsid w:val="00FF4734"/>
    <w:rsid w:val="00FF4B26"/>
    <w:rsid w:val="00FF545D"/>
    <w:rsid w:val="00FF63B9"/>
    <w:rsid w:val="00FF72F4"/>
    <w:rsid w:val="00FF77B6"/>
    <w:rsid w:val="00FF79F6"/>
    <w:rsid w:val="00FF7DE3"/>
    <w:rsid w:val="010C3643"/>
    <w:rsid w:val="01520363"/>
    <w:rsid w:val="01556417"/>
    <w:rsid w:val="01600513"/>
    <w:rsid w:val="016D0EAE"/>
    <w:rsid w:val="01746FB4"/>
    <w:rsid w:val="01B02A3A"/>
    <w:rsid w:val="01C2190C"/>
    <w:rsid w:val="01D0086C"/>
    <w:rsid w:val="01D476E9"/>
    <w:rsid w:val="01DD4866"/>
    <w:rsid w:val="01ECD302"/>
    <w:rsid w:val="01EED958"/>
    <w:rsid w:val="0225738E"/>
    <w:rsid w:val="023672F4"/>
    <w:rsid w:val="025561CF"/>
    <w:rsid w:val="02564409"/>
    <w:rsid w:val="025E0000"/>
    <w:rsid w:val="02B524D4"/>
    <w:rsid w:val="02B557CA"/>
    <w:rsid w:val="02C736DC"/>
    <w:rsid w:val="02F40C3D"/>
    <w:rsid w:val="0334385F"/>
    <w:rsid w:val="033D3523"/>
    <w:rsid w:val="0344272D"/>
    <w:rsid w:val="0369EBFE"/>
    <w:rsid w:val="037C7496"/>
    <w:rsid w:val="03872212"/>
    <w:rsid w:val="038E3E27"/>
    <w:rsid w:val="03BC33DF"/>
    <w:rsid w:val="03BE44DA"/>
    <w:rsid w:val="03D94FAF"/>
    <w:rsid w:val="03DAF410"/>
    <w:rsid w:val="03F826C7"/>
    <w:rsid w:val="040272A1"/>
    <w:rsid w:val="040E5683"/>
    <w:rsid w:val="04674C72"/>
    <w:rsid w:val="04A647CA"/>
    <w:rsid w:val="04B2316F"/>
    <w:rsid w:val="04D106FF"/>
    <w:rsid w:val="04D4C9F3"/>
    <w:rsid w:val="04D90F82"/>
    <w:rsid w:val="04DF2FB1"/>
    <w:rsid w:val="050F0379"/>
    <w:rsid w:val="051476F0"/>
    <w:rsid w:val="055B0D7C"/>
    <w:rsid w:val="056703FD"/>
    <w:rsid w:val="057958C0"/>
    <w:rsid w:val="058F34B0"/>
    <w:rsid w:val="05E742CE"/>
    <w:rsid w:val="05F02E7F"/>
    <w:rsid w:val="06012D87"/>
    <w:rsid w:val="06035827"/>
    <w:rsid w:val="063512B6"/>
    <w:rsid w:val="0638524B"/>
    <w:rsid w:val="063F4F71"/>
    <w:rsid w:val="065D3E89"/>
    <w:rsid w:val="06F350BB"/>
    <w:rsid w:val="06F63CB4"/>
    <w:rsid w:val="06FB4DE7"/>
    <w:rsid w:val="07016014"/>
    <w:rsid w:val="0748117C"/>
    <w:rsid w:val="0750142A"/>
    <w:rsid w:val="075F5050"/>
    <w:rsid w:val="077E6CFB"/>
    <w:rsid w:val="078F6815"/>
    <w:rsid w:val="07B73066"/>
    <w:rsid w:val="07C6062B"/>
    <w:rsid w:val="07E662EC"/>
    <w:rsid w:val="07F44EAE"/>
    <w:rsid w:val="08011F96"/>
    <w:rsid w:val="080E3A81"/>
    <w:rsid w:val="0812512E"/>
    <w:rsid w:val="081C3795"/>
    <w:rsid w:val="0822632F"/>
    <w:rsid w:val="0836430F"/>
    <w:rsid w:val="083A3A40"/>
    <w:rsid w:val="083EA784"/>
    <w:rsid w:val="08462BC7"/>
    <w:rsid w:val="087A0447"/>
    <w:rsid w:val="08A45A7F"/>
    <w:rsid w:val="08B34758"/>
    <w:rsid w:val="08BA7A87"/>
    <w:rsid w:val="08CC56F8"/>
    <w:rsid w:val="08F65717"/>
    <w:rsid w:val="08F6CF93"/>
    <w:rsid w:val="09303426"/>
    <w:rsid w:val="093C3D88"/>
    <w:rsid w:val="09476803"/>
    <w:rsid w:val="097D6718"/>
    <w:rsid w:val="098350DA"/>
    <w:rsid w:val="09A45F5E"/>
    <w:rsid w:val="09E716CF"/>
    <w:rsid w:val="09E87633"/>
    <w:rsid w:val="09F305E8"/>
    <w:rsid w:val="09FD6A6F"/>
    <w:rsid w:val="0A040FB9"/>
    <w:rsid w:val="0A65397E"/>
    <w:rsid w:val="0A6B02A0"/>
    <w:rsid w:val="0ADF508F"/>
    <w:rsid w:val="0AE20526"/>
    <w:rsid w:val="0AE93662"/>
    <w:rsid w:val="0B31710A"/>
    <w:rsid w:val="0B47323F"/>
    <w:rsid w:val="0B6E2281"/>
    <w:rsid w:val="0B7551DF"/>
    <w:rsid w:val="0B9D7938"/>
    <w:rsid w:val="0B9F5186"/>
    <w:rsid w:val="0BA08867"/>
    <w:rsid w:val="0BB03317"/>
    <w:rsid w:val="0BC6F1D2"/>
    <w:rsid w:val="0BCD4D32"/>
    <w:rsid w:val="0C0EE901"/>
    <w:rsid w:val="0C1C35C4"/>
    <w:rsid w:val="0C2D3942"/>
    <w:rsid w:val="0C376ACB"/>
    <w:rsid w:val="0C57BC5C"/>
    <w:rsid w:val="0C962B0F"/>
    <w:rsid w:val="0CA957FF"/>
    <w:rsid w:val="0CC44F9A"/>
    <w:rsid w:val="0CD9F3FF"/>
    <w:rsid w:val="0CE76FFC"/>
    <w:rsid w:val="0CFE0AAC"/>
    <w:rsid w:val="0D40222C"/>
    <w:rsid w:val="0D444814"/>
    <w:rsid w:val="0D454E0B"/>
    <w:rsid w:val="0D496892"/>
    <w:rsid w:val="0D5BEA4A"/>
    <w:rsid w:val="0D5C45C0"/>
    <w:rsid w:val="0D6C1864"/>
    <w:rsid w:val="0D7336B7"/>
    <w:rsid w:val="0D766336"/>
    <w:rsid w:val="0D766750"/>
    <w:rsid w:val="0D892575"/>
    <w:rsid w:val="0D945F26"/>
    <w:rsid w:val="0DD15005"/>
    <w:rsid w:val="0DDF104F"/>
    <w:rsid w:val="0DF91165"/>
    <w:rsid w:val="0E116FC1"/>
    <w:rsid w:val="0E22282F"/>
    <w:rsid w:val="0E440B11"/>
    <w:rsid w:val="0E6D66F5"/>
    <w:rsid w:val="0E91B3AC"/>
    <w:rsid w:val="0EB346D0"/>
    <w:rsid w:val="0ED60128"/>
    <w:rsid w:val="0EE02FCE"/>
    <w:rsid w:val="0EEA107A"/>
    <w:rsid w:val="0F091DE5"/>
    <w:rsid w:val="0F1A6EEB"/>
    <w:rsid w:val="0F611CF7"/>
    <w:rsid w:val="0F6B1308"/>
    <w:rsid w:val="0F7D53E0"/>
    <w:rsid w:val="0FB1C05F"/>
    <w:rsid w:val="0FB2348D"/>
    <w:rsid w:val="0FB436F8"/>
    <w:rsid w:val="0FB941DD"/>
    <w:rsid w:val="0FBC1346"/>
    <w:rsid w:val="103C741A"/>
    <w:rsid w:val="106A1212"/>
    <w:rsid w:val="1092021C"/>
    <w:rsid w:val="10A9577F"/>
    <w:rsid w:val="10AA1B83"/>
    <w:rsid w:val="10AB5770"/>
    <w:rsid w:val="10B451A3"/>
    <w:rsid w:val="10C13D4D"/>
    <w:rsid w:val="10C4576F"/>
    <w:rsid w:val="10DF7C4F"/>
    <w:rsid w:val="11086B5C"/>
    <w:rsid w:val="111C7210"/>
    <w:rsid w:val="115327BC"/>
    <w:rsid w:val="115E561D"/>
    <w:rsid w:val="117C6359"/>
    <w:rsid w:val="11856268"/>
    <w:rsid w:val="119011CC"/>
    <w:rsid w:val="11965BC6"/>
    <w:rsid w:val="11A006BD"/>
    <w:rsid w:val="11C92E33"/>
    <w:rsid w:val="11D41D2F"/>
    <w:rsid w:val="11FC011F"/>
    <w:rsid w:val="121E0096"/>
    <w:rsid w:val="124D57FF"/>
    <w:rsid w:val="124E53FA"/>
    <w:rsid w:val="124F64A1"/>
    <w:rsid w:val="12534A6C"/>
    <w:rsid w:val="126A4B86"/>
    <w:rsid w:val="126F320F"/>
    <w:rsid w:val="12771554"/>
    <w:rsid w:val="127B59AC"/>
    <w:rsid w:val="128873D1"/>
    <w:rsid w:val="12D76EEE"/>
    <w:rsid w:val="12E36310"/>
    <w:rsid w:val="12E62EE3"/>
    <w:rsid w:val="12EA229D"/>
    <w:rsid w:val="12F80B84"/>
    <w:rsid w:val="1327349E"/>
    <w:rsid w:val="134C5ADD"/>
    <w:rsid w:val="134E0A43"/>
    <w:rsid w:val="137365ED"/>
    <w:rsid w:val="138B5A8D"/>
    <w:rsid w:val="138F3713"/>
    <w:rsid w:val="1390203F"/>
    <w:rsid w:val="139A2BA0"/>
    <w:rsid w:val="13B9518D"/>
    <w:rsid w:val="13BB293B"/>
    <w:rsid w:val="13EB05E9"/>
    <w:rsid w:val="13F31684"/>
    <w:rsid w:val="13FD4EBE"/>
    <w:rsid w:val="14061E89"/>
    <w:rsid w:val="14435418"/>
    <w:rsid w:val="1449051D"/>
    <w:rsid w:val="144A0D71"/>
    <w:rsid w:val="144B2329"/>
    <w:rsid w:val="145C6C53"/>
    <w:rsid w:val="14694849"/>
    <w:rsid w:val="14845562"/>
    <w:rsid w:val="14927E71"/>
    <w:rsid w:val="14972381"/>
    <w:rsid w:val="14BB014F"/>
    <w:rsid w:val="14C32DA9"/>
    <w:rsid w:val="14CF3310"/>
    <w:rsid w:val="14DB05D0"/>
    <w:rsid w:val="14DF1495"/>
    <w:rsid w:val="14ED2B94"/>
    <w:rsid w:val="14FA03E6"/>
    <w:rsid w:val="14FE3BA1"/>
    <w:rsid w:val="1506492D"/>
    <w:rsid w:val="1506568C"/>
    <w:rsid w:val="150BA6ED"/>
    <w:rsid w:val="150C1EB8"/>
    <w:rsid w:val="15165BC8"/>
    <w:rsid w:val="15175270"/>
    <w:rsid w:val="15243624"/>
    <w:rsid w:val="15383871"/>
    <w:rsid w:val="15524E49"/>
    <w:rsid w:val="15542020"/>
    <w:rsid w:val="156A53A0"/>
    <w:rsid w:val="15701248"/>
    <w:rsid w:val="157A56C9"/>
    <w:rsid w:val="158217F1"/>
    <w:rsid w:val="159F45F6"/>
    <w:rsid w:val="15A5506D"/>
    <w:rsid w:val="15A72150"/>
    <w:rsid w:val="15AB567D"/>
    <w:rsid w:val="15AC7E84"/>
    <w:rsid w:val="15D849FF"/>
    <w:rsid w:val="15FED2E0"/>
    <w:rsid w:val="160703FF"/>
    <w:rsid w:val="1609204E"/>
    <w:rsid w:val="161A0483"/>
    <w:rsid w:val="161B1FE5"/>
    <w:rsid w:val="162665CA"/>
    <w:rsid w:val="16377978"/>
    <w:rsid w:val="16435524"/>
    <w:rsid w:val="16490FC8"/>
    <w:rsid w:val="1671146D"/>
    <w:rsid w:val="167601F3"/>
    <w:rsid w:val="16A71DAD"/>
    <w:rsid w:val="16CF633B"/>
    <w:rsid w:val="16D8D611"/>
    <w:rsid w:val="16DE6045"/>
    <w:rsid w:val="16E502C5"/>
    <w:rsid w:val="16EA78D7"/>
    <w:rsid w:val="170468BE"/>
    <w:rsid w:val="170944B2"/>
    <w:rsid w:val="170AB26E"/>
    <w:rsid w:val="1723AD29"/>
    <w:rsid w:val="172938FF"/>
    <w:rsid w:val="173328A2"/>
    <w:rsid w:val="175F19DD"/>
    <w:rsid w:val="17645F96"/>
    <w:rsid w:val="17887D6C"/>
    <w:rsid w:val="178A3AD7"/>
    <w:rsid w:val="17922CE8"/>
    <w:rsid w:val="17931DB3"/>
    <w:rsid w:val="17A2297F"/>
    <w:rsid w:val="17AA7EB8"/>
    <w:rsid w:val="17B2164C"/>
    <w:rsid w:val="17DB5DBD"/>
    <w:rsid w:val="17EE1F50"/>
    <w:rsid w:val="1815B365"/>
    <w:rsid w:val="181A12FF"/>
    <w:rsid w:val="18242DE7"/>
    <w:rsid w:val="18250294"/>
    <w:rsid w:val="18335F1D"/>
    <w:rsid w:val="186C453E"/>
    <w:rsid w:val="18757060"/>
    <w:rsid w:val="188E0589"/>
    <w:rsid w:val="18A37048"/>
    <w:rsid w:val="18AC646C"/>
    <w:rsid w:val="18D31763"/>
    <w:rsid w:val="18D42B21"/>
    <w:rsid w:val="18E62CAD"/>
    <w:rsid w:val="18FC0A05"/>
    <w:rsid w:val="190744C9"/>
    <w:rsid w:val="190C25BA"/>
    <w:rsid w:val="192964D8"/>
    <w:rsid w:val="192F367F"/>
    <w:rsid w:val="1966063C"/>
    <w:rsid w:val="197C45F0"/>
    <w:rsid w:val="19A15A80"/>
    <w:rsid w:val="19A56207"/>
    <w:rsid w:val="19C4109A"/>
    <w:rsid w:val="19FA6763"/>
    <w:rsid w:val="1A002745"/>
    <w:rsid w:val="1A0E61A6"/>
    <w:rsid w:val="1A281749"/>
    <w:rsid w:val="1A35E86F"/>
    <w:rsid w:val="1A365B17"/>
    <w:rsid w:val="1A5F0F93"/>
    <w:rsid w:val="1A6A3474"/>
    <w:rsid w:val="1A6C2877"/>
    <w:rsid w:val="1A716B96"/>
    <w:rsid w:val="1A814D60"/>
    <w:rsid w:val="1A8A716A"/>
    <w:rsid w:val="1A995208"/>
    <w:rsid w:val="1ACD049E"/>
    <w:rsid w:val="1AEA568F"/>
    <w:rsid w:val="1AF75928"/>
    <w:rsid w:val="1B1F68EA"/>
    <w:rsid w:val="1B2C00DF"/>
    <w:rsid w:val="1B2C0866"/>
    <w:rsid w:val="1B4641B9"/>
    <w:rsid w:val="1B550BA0"/>
    <w:rsid w:val="1B5B6DBA"/>
    <w:rsid w:val="1B88589F"/>
    <w:rsid w:val="1BA37AB2"/>
    <w:rsid w:val="1BFF2D22"/>
    <w:rsid w:val="1C2947A8"/>
    <w:rsid w:val="1C5474E6"/>
    <w:rsid w:val="1C616BBB"/>
    <w:rsid w:val="1C74558F"/>
    <w:rsid w:val="1CB615F4"/>
    <w:rsid w:val="1CBB5AF5"/>
    <w:rsid w:val="1CBC1AA4"/>
    <w:rsid w:val="1CE60F71"/>
    <w:rsid w:val="1D021D30"/>
    <w:rsid w:val="1D33265B"/>
    <w:rsid w:val="1D3474C4"/>
    <w:rsid w:val="1D4A70A8"/>
    <w:rsid w:val="1D4C09C4"/>
    <w:rsid w:val="1D520B6A"/>
    <w:rsid w:val="1D885592"/>
    <w:rsid w:val="1D932254"/>
    <w:rsid w:val="1E0274D8"/>
    <w:rsid w:val="1E041B9F"/>
    <w:rsid w:val="1E0B72E8"/>
    <w:rsid w:val="1E0F5C35"/>
    <w:rsid w:val="1E2A7765"/>
    <w:rsid w:val="1E312F40"/>
    <w:rsid w:val="1E4C5491"/>
    <w:rsid w:val="1E551D10"/>
    <w:rsid w:val="1E585B93"/>
    <w:rsid w:val="1E5AD940"/>
    <w:rsid w:val="1E8E373E"/>
    <w:rsid w:val="1E8F186F"/>
    <w:rsid w:val="1E99A1D7"/>
    <w:rsid w:val="1EBB23B0"/>
    <w:rsid w:val="1EC943B8"/>
    <w:rsid w:val="1ED28671"/>
    <w:rsid w:val="1F0E2725"/>
    <w:rsid w:val="1F214E3E"/>
    <w:rsid w:val="1F550844"/>
    <w:rsid w:val="1F72378C"/>
    <w:rsid w:val="1F8E5491"/>
    <w:rsid w:val="1FA57441"/>
    <w:rsid w:val="1FC1C6D5"/>
    <w:rsid w:val="1FD8CB74"/>
    <w:rsid w:val="1FE3480E"/>
    <w:rsid w:val="200808D2"/>
    <w:rsid w:val="204743EB"/>
    <w:rsid w:val="20564E9E"/>
    <w:rsid w:val="208B0D98"/>
    <w:rsid w:val="20BE1C9F"/>
    <w:rsid w:val="20C1DF52"/>
    <w:rsid w:val="20C335FC"/>
    <w:rsid w:val="20D90C8E"/>
    <w:rsid w:val="20E66C73"/>
    <w:rsid w:val="20EA16D6"/>
    <w:rsid w:val="2105BC6D"/>
    <w:rsid w:val="211E789C"/>
    <w:rsid w:val="215B20D1"/>
    <w:rsid w:val="215F14F7"/>
    <w:rsid w:val="2177225E"/>
    <w:rsid w:val="217742E0"/>
    <w:rsid w:val="21796D01"/>
    <w:rsid w:val="21803C49"/>
    <w:rsid w:val="218368F4"/>
    <w:rsid w:val="21850995"/>
    <w:rsid w:val="21852AE4"/>
    <w:rsid w:val="219914E7"/>
    <w:rsid w:val="21A5213F"/>
    <w:rsid w:val="21B7196D"/>
    <w:rsid w:val="21D74148"/>
    <w:rsid w:val="21D91475"/>
    <w:rsid w:val="21F40844"/>
    <w:rsid w:val="22007D31"/>
    <w:rsid w:val="22083F81"/>
    <w:rsid w:val="220C4BAB"/>
    <w:rsid w:val="222114F3"/>
    <w:rsid w:val="222F763D"/>
    <w:rsid w:val="22334A6F"/>
    <w:rsid w:val="226A6BEA"/>
    <w:rsid w:val="226F64BB"/>
    <w:rsid w:val="22807A97"/>
    <w:rsid w:val="229029AA"/>
    <w:rsid w:val="229832A3"/>
    <w:rsid w:val="22EF3824"/>
    <w:rsid w:val="231F6037"/>
    <w:rsid w:val="234F0ECF"/>
    <w:rsid w:val="2390ED8C"/>
    <w:rsid w:val="23915F20"/>
    <w:rsid w:val="23AC7BD9"/>
    <w:rsid w:val="23DB38E3"/>
    <w:rsid w:val="23DE5935"/>
    <w:rsid w:val="23E826E3"/>
    <w:rsid w:val="23E913EA"/>
    <w:rsid w:val="241E20A9"/>
    <w:rsid w:val="24208372"/>
    <w:rsid w:val="242B219E"/>
    <w:rsid w:val="24415794"/>
    <w:rsid w:val="24433F1C"/>
    <w:rsid w:val="244F4C86"/>
    <w:rsid w:val="246C6614"/>
    <w:rsid w:val="24707D7F"/>
    <w:rsid w:val="24A36131"/>
    <w:rsid w:val="24BB5EBC"/>
    <w:rsid w:val="24C55AA4"/>
    <w:rsid w:val="24C9474B"/>
    <w:rsid w:val="24DE4BCE"/>
    <w:rsid w:val="24E1A86E"/>
    <w:rsid w:val="24F26C94"/>
    <w:rsid w:val="250042F7"/>
    <w:rsid w:val="253373C6"/>
    <w:rsid w:val="258E59D0"/>
    <w:rsid w:val="25916979"/>
    <w:rsid w:val="25D03B2C"/>
    <w:rsid w:val="260B00CA"/>
    <w:rsid w:val="261E020C"/>
    <w:rsid w:val="262A02CB"/>
    <w:rsid w:val="26372545"/>
    <w:rsid w:val="263C6C62"/>
    <w:rsid w:val="264952C6"/>
    <w:rsid w:val="26570634"/>
    <w:rsid w:val="265811B8"/>
    <w:rsid w:val="266B63A5"/>
    <w:rsid w:val="2678146B"/>
    <w:rsid w:val="2680B3A4"/>
    <w:rsid w:val="268A129D"/>
    <w:rsid w:val="26B21811"/>
    <w:rsid w:val="26BD21A7"/>
    <w:rsid w:val="26BD2F15"/>
    <w:rsid w:val="26C70F12"/>
    <w:rsid w:val="26CE3BFF"/>
    <w:rsid w:val="26D93AF9"/>
    <w:rsid w:val="26E11A97"/>
    <w:rsid w:val="26E7647D"/>
    <w:rsid w:val="26F85C3C"/>
    <w:rsid w:val="271749F1"/>
    <w:rsid w:val="271C6385"/>
    <w:rsid w:val="272A4522"/>
    <w:rsid w:val="272B051A"/>
    <w:rsid w:val="276C748B"/>
    <w:rsid w:val="276F06AB"/>
    <w:rsid w:val="277B0E76"/>
    <w:rsid w:val="27B846EC"/>
    <w:rsid w:val="27C88A15"/>
    <w:rsid w:val="27D26ED4"/>
    <w:rsid w:val="27E809C4"/>
    <w:rsid w:val="27FA2A03"/>
    <w:rsid w:val="280C5EDE"/>
    <w:rsid w:val="28245882"/>
    <w:rsid w:val="286805E2"/>
    <w:rsid w:val="287A103B"/>
    <w:rsid w:val="287E7867"/>
    <w:rsid w:val="287F6F5C"/>
    <w:rsid w:val="28A32BC0"/>
    <w:rsid w:val="28B51B6C"/>
    <w:rsid w:val="28DD131C"/>
    <w:rsid w:val="28E82760"/>
    <w:rsid w:val="28EB4775"/>
    <w:rsid w:val="28F05942"/>
    <w:rsid w:val="29004302"/>
    <w:rsid w:val="29053084"/>
    <w:rsid w:val="29196188"/>
    <w:rsid w:val="292D5F9D"/>
    <w:rsid w:val="2939294E"/>
    <w:rsid w:val="29423A98"/>
    <w:rsid w:val="29471828"/>
    <w:rsid w:val="29511E37"/>
    <w:rsid w:val="296D06A4"/>
    <w:rsid w:val="29955C15"/>
    <w:rsid w:val="29D65FFE"/>
    <w:rsid w:val="29E52D49"/>
    <w:rsid w:val="29F378B4"/>
    <w:rsid w:val="29F5459D"/>
    <w:rsid w:val="2A46716A"/>
    <w:rsid w:val="2A504CB0"/>
    <w:rsid w:val="2A6401B8"/>
    <w:rsid w:val="2A6846D2"/>
    <w:rsid w:val="2A9F5769"/>
    <w:rsid w:val="2ABF10B8"/>
    <w:rsid w:val="2ADE52CB"/>
    <w:rsid w:val="2AED33DF"/>
    <w:rsid w:val="2AF00D0F"/>
    <w:rsid w:val="2AFE6969"/>
    <w:rsid w:val="2B2382DF"/>
    <w:rsid w:val="2B27677C"/>
    <w:rsid w:val="2B334F2D"/>
    <w:rsid w:val="2B581C2C"/>
    <w:rsid w:val="2B753FF7"/>
    <w:rsid w:val="2BA85EFD"/>
    <w:rsid w:val="2BAB74EF"/>
    <w:rsid w:val="2BB512A2"/>
    <w:rsid w:val="2BB84222"/>
    <w:rsid w:val="2BC83D78"/>
    <w:rsid w:val="2BC8623A"/>
    <w:rsid w:val="2BCA5EF0"/>
    <w:rsid w:val="2BD41414"/>
    <w:rsid w:val="2BF106A5"/>
    <w:rsid w:val="2BFA7D3F"/>
    <w:rsid w:val="2C04447A"/>
    <w:rsid w:val="2C194E17"/>
    <w:rsid w:val="2C1A0A74"/>
    <w:rsid w:val="2C34AD29"/>
    <w:rsid w:val="2C5D25AF"/>
    <w:rsid w:val="2C8916B8"/>
    <w:rsid w:val="2CA22EE3"/>
    <w:rsid w:val="2CD92CB7"/>
    <w:rsid w:val="2CDC52FA"/>
    <w:rsid w:val="2CDE573B"/>
    <w:rsid w:val="2CE34C8D"/>
    <w:rsid w:val="2CF463FB"/>
    <w:rsid w:val="2CF56E35"/>
    <w:rsid w:val="2D256324"/>
    <w:rsid w:val="2D3A3D06"/>
    <w:rsid w:val="2D3F35E1"/>
    <w:rsid w:val="2D5C786C"/>
    <w:rsid w:val="2D7673F7"/>
    <w:rsid w:val="2DBC96D6"/>
    <w:rsid w:val="2DBDB5CC"/>
    <w:rsid w:val="2DC77C29"/>
    <w:rsid w:val="2DCE3A57"/>
    <w:rsid w:val="2DF301D1"/>
    <w:rsid w:val="2E4A3E2B"/>
    <w:rsid w:val="2E66289F"/>
    <w:rsid w:val="2E703312"/>
    <w:rsid w:val="2E79FDF7"/>
    <w:rsid w:val="2E82D7B6"/>
    <w:rsid w:val="2E8D4470"/>
    <w:rsid w:val="2E900AE0"/>
    <w:rsid w:val="2E9077CD"/>
    <w:rsid w:val="2EEF2C7F"/>
    <w:rsid w:val="2EF6D334"/>
    <w:rsid w:val="2F133170"/>
    <w:rsid w:val="2F2C34B9"/>
    <w:rsid w:val="2F365C8B"/>
    <w:rsid w:val="2F6754CE"/>
    <w:rsid w:val="2F6F3228"/>
    <w:rsid w:val="2F791966"/>
    <w:rsid w:val="2F7E138E"/>
    <w:rsid w:val="2F9E40AB"/>
    <w:rsid w:val="2FB730E6"/>
    <w:rsid w:val="2FB8018F"/>
    <w:rsid w:val="2FD143BF"/>
    <w:rsid w:val="30215ADF"/>
    <w:rsid w:val="302F0CCF"/>
    <w:rsid w:val="30432CEA"/>
    <w:rsid w:val="304A602C"/>
    <w:rsid w:val="3068C4FD"/>
    <w:rsid w:val="307E8B76"/>
    <w:rsid w:val="30814C1D"/>
    <w:rsid w:val="308934AE"/>
    <w:rsid w:val="3092D6FB"/>
    <w:rsid w:val="30A74D42"/>
    <w:rsid w:val="30B05046"/>
    <w:rsid w:val="30B27FAA"/>
    <w:rsid w:val="30B85F86"/>
    <w:rsid w:val="30BB3C3D"/>
    <w:rsid w:val="30D64AE4"/>
    <w:rsid w:val="30D928DF"/>
    <w:rsid w:val="30DF5D2E"/>
    <w:rsid w:val="30FC6620"/>
    <w:rsid w:val="310D015B"/>
    <w:rsid w:val="311FC1BB"/>
    <w:rsid w:val="313776BC"/>
    <w:rsid w:val="31434C18"/>
    <w:rsid w:val="31A43FA2"/>
    <w:rsid w:val="31D9148B"/>
    <w:rsid w:val="31DD3AA2"/>
    <w:rsid w:val="31F2219C"/>
    <w:rsid w:val="31F3417A"/>
    <w:rsid w:val="321EE5B1"/>
    <w:rsid w:val="32344CFC"/>
    <w:rsid w:val="32472899"/>
    <w:rsid w:val="328D5F5E"/>
    <w:rsid w:val="328F234D"/>
    <w:rsid w:val="329632E1"/>
    <w:rsid w:val="32D06D32"/>
    <w:rsid w:val="32F21962"/>
    <w:rsid w:val="33064848"/>
    <w:rsid w:val="331647C9"/>
    <w:rsid w:val="33385513"/>
    <w:rsid w:val="333E2FB8"/>
    <w:rsid w:val="334F40FB"/>
    <w:rsid w:val="335B70B0"/>
    <w:rsid w:val="33701D6B"/>
    <w:rsid w:val="3384FE5C"/>
    <w:rsid w:val="338C503D"/>
    <w:rsid w:val="33C111C5"/>
    <w:rsid w:val="33F82D2E"/>
    <w:rsid w:val="340A2BBB"/>
    <w:rsid w:val="341C4D21"/>
    <w:rsid w:val="3429465F"/>
    <w:rsid w:val="34464981"/>
    <w:rsid w:val="3465D67D"/>
    <w:rsid w:val="34AE47F0"/>
    <w:rsid w:val="34C56693"/>
    <w:rsid w:val="34D07B27"/>
    <w:rsid w:val="35354012"/>
    <w:rsid w:val="3537256A"/>
    <w:rsid w:val="358F4C83"/>
    <w:rsid w:val="35904625"/>
    <w:rsid w:val="35995392"/>
    <w:rsid w:val="35DF5F34"/>
    <w:rsid w:val="35FC3EF1"/>
    <w:rsid w:val="360D2313"/>
    <w:rsid w:val="361D7021"/>
    <w:rsid w:val="3642278C"/>
    <w:rsid w:val="36475AF5"/>
    <w:rsid w:val="36526A1E"/>
    <w:rsid w:val="365F7894"/>
    <w:rsid w:val="36976311"/>
    <w:rsid w:val="36A5516C"/>
    <w:rsid w:val="36B66E18"/>
    <w:rsid w:val="36B7347B"/>
    <w:rsid w:val="36B73A42"/>
    <w:rsid w:val="36C13925"/>
    <w:rsid w:val="36CA6F9D"/>
    <w:rsid w:val="36EF0B81"/>
    <w:rsid w:val="36FE751B"/>
    <w:rsid w:val="37054A87"/>
    <w:rsid w:val="37117919"/>
    <w:rsid w:val="3726435C"/>
    <w:rsid w:val="37390C2F"/>
    <w:rsid w:val="374B2AE9"/>
    <w:rsid w:val="37A2192B"/>
    <w:rsid w:val="37B93098"/>
    <w:rsid w:val="37BA4433"/>
    <w:rsid w:val="37C06C76"/>
    <w:rsid w:val="37DA1BB3"/>
    <w:rsid w:val="3808188D"/>
    <w:rsid w:val="380E6632"/>
    <w:rsid w:val="38275057"/>
    <w:rsid w:val="384855BD"/>
    <w:rsid w:val="38501CD4"/>
    <w:rsid w:val="3882524A"/>
    <w:rsid w:val="388C62D1"/>
    <w:rsid w:val="389F0E0F"/>
    <w:rsid w:val="38BAFC33"/>
    <w:rsid w:val="390362C3"/>
    <w:rsid w:val="39276F80"/>
    <w:rsid w:val="392A0FB9"/>
    <w:rsid w:val="3935233A"/>
    <w:rsid w:val="3940664A"/>
    <w:rsid w:val="396F1FE4"/>
    <w:rsid w:val="39756260"/>
    <w:rsid w:val="399D7E8F"/>
    <w:rsid w:val="39A20D1C"/>
    <w:rsid w:val="39BED868"/>
    <w:rsid w:val="39C4CD46"/>
    <w:rsid w:val="39CE7F43"/>
    <w:rsid w:val="39D419A0"/>
    <w:rsid w:val="39F23498"/>
    <w:rsid w:val="39F44054"/>
    <w:rsid w:val="3A036670"/>
    <w:rsid w:val="3A2211F2"/>
    <w:rsid w:val="3A2B042F"/>
    <w:rsid w:val="3A4D72FB"/>
    <w:rsid w:val="3A6A61A7"/>
    <w:rsid w:val="3A6D02B3"/>
    <w:rsid w:val="3AA322A6"/>
    <w:rsid w:val="3AAF721F"/>
    <w:rsid w:val="3AB24F6F"/>
    <w:rsid w:val="3AC27286"/>
    <w:rsid w:val="3ADD2F34"/>
    <w:rsid w:val="3AEE5FD1"/>
    <w:rsid w:val="3AFA03C5"/>
    <w:rsid w:val="3B2151B4"/>
    <w:rsid w:val="3B245E6D"/>
    <w:rsid w:val="3B3167A5"/>
    <w:rsid w:val="3B48344E"/>
    <w:rsid w:val="3B4F3791"/>
    <w:rsid w:val="3B567F5D"/>
    <w:rsid w:val="3B833A43"/>
    <w:rsid w:val="3B86168A"/>
    <w:rsid w:val="3B976916"/>
    <w:rsid w:val="3BA205FC"/>
    <w:rsid w:val="3BE8159F"/>
    <w:rsid w:val="3BE98895"/>
    <w:rsid w:val="3BEA330B"/>
    <w:rsid w:val="3C09F0F0"/>
    <w:rsid w:val="3C352CBA"/>
    <w:rsid w:val="3C3C17A7"/>
    <w:rsid w:val="3C4B9506"/>
    <w:rsid w:val="3C594AF0"/>
    <w:rsid w:val="3C6B77C7"/>
    <w:rsid w:val="3CB85F01"/>
    <w:rsid w:val="3CCD2B03"/>
    <w:rsid w:val="3CE356FC"/>
    <w:rsid w:val="3CF77C2D"/>
    <w:rsid w:val="3D3B52C4"/>
    <w:rsid w:val="3D6F0E12"/>
    <w:rsid w:val="3D995463"/>
    <w:rsid w:val="3DB15F3F"/>
    <w:rsid w:val="3DC310A1"/>
    <w:rsid w:val="3DCB5BB1"/>
    <w:rsid w:val="3DFD3BF5"/>
    <w:rsid w:val="3E2406E2"/>
    <w:rsid w:val="3E2A0069"/>
    <w:rsid w:val="3E416D36"/>
    <w:rsid w:val="3E424E26"/>
    <w:rsid w:val="3E466716"/>
    <w:rsid w:val="3E5B4BFB"/>
    <w:rsid w:val="3E6279AA"/>
    <w:rsid w:val="3E7845A9"/>
    <w:rsid w:val="3E895FE7"/>
    <w:rsid w:val="3EA51073"/>
    <w:rsid w:val="3EA66A5A"/>
    <w:rsid w:val="3EA6AFF0"/>
    <w:rsid w:val="3ED554CE"/>
    <w:rsid w:val="3EDB3D37"/>
    <w:rsid w:val="3EF43DA9"/>
    <w:rsid w:val="3EF74684"/>
    <w:rsid w:val="3EF9704E"/>
    <w:rsid w:val="3F0A7128"/>
    <w:rsid w:val="3F717A24"/>
    <w:rsid w:val="3F792535"/>
    <w:rsid w:val="3F7F5122"/>
    <w:rsid w:val="3F817BE4"/>
    <w:rsid w:val="3F9F7FD2"/>
    <w:rsid w:val="3FA3480D"/>
    <w:rsid w:val="3FCA1C0A"/>
    <w:rsid w:val="40075B89"/>
    <w:rsid w:val="40195F6F"/>
    <w:rsid w:val="405821A8"/>
    <w:rsid w:val="40616103"/>
    <w:rsid w:val="407E7225"/>
    <w:rsid w:val="40C12189"/>
    <w:rsid w:val="40C449AE"/>
    <w:rsid w:val="40D157F4"/>
    <w:rsid w:val="40FC4C3F"/>
    <w:rsid w:val="412A3433"/>
    <w:rsid w:val="415CCFD0"/>
    <w:rsid w:val="41654AEA"/>
    <w:rsid w:val="41720FB5"/>
    <w:rsid w:val="41721ACC"/>
    <w:rsid w:val="41792995"/>
    <w:rsid w:val="41801853"/>
    <w:rsid w:val="418340EB"/>
    <w:rsid w:val="418F55AC"/>
    <w:rsid w:val="41957125"/>
    <w:rsid w:val="419F3FE8"/>
    <w:rsid w:val="41A00443"/>
    <w:rsid w:val="41A05DA0"/>
    <w:rsid w:val="41C81E57"/>
    <w:rsid w:val="41D051CD"/>
    <w:rsid w:val="41EA2347"/>
    <w:rsid w:val="41FF5A4E"/>
    <w:rsid w:val="42002212"/>
    <w:rsid w:val="423E5075"/>
    <w:rsid w:val="424E1856"/>
    <w:rsid w:val="42596363"/>
    <w:rsid w:val="42703155"/>
    <w:rsid w:val="429E78CA"/>
    <w:rsid w:val="42BA7414"/>
    <w:rsid w:val="42C0465F"/>
    <w:rsid w:val="42DD0C54"/>
    <w:rsid w:val="43074F8B"/>
    <w:rsid w:val="430B2E6E"/>
    <w:rsid w:val="43331829"/>
    <w:rsid w:val="4340580E"/>
    <w:rsid w:val="434243F6"/>
    <w:rsid w:val="434335F7"/>
    <w:rsid w:val="43504DBE"/>
    <w:rsid w:val="43577C9C"/>
    <w:rsid w:val="43686EA5"/>
    <w:rsid w:val="43A136A6"/>
    <w:rsid w:val="43B00545"/>
    <w:rsid w:val="43C91018"/>
    <w:rsid w:val="43F51187"/>
    <w:rsid w:val="43F93DAB"/>
    <w:rsid w:val="44285E98"/>
    <w:rsid w:val="44421112"/>
    <w:rsid w:val="44601E36"/>
    <w:rsid w:val="44817B3A"/>
    <w:rsid w:val="44A16122"/>
    <w:rsid w:val="44A678F3"/>
    <w:rsid w:val="44AE7297"/>
    <w:rsid w:val="44B63651"/>
    <w:rsid w:val="44B963F2"/>
    <w:rsid w:val="44C85ABB"/>
    <w:rsid w:val="44CC2378"/>
    <w:rsid w:val="44CD33CB"/>
    <w:rsid w:val="44DB3B2C"/>
    <w:rsid w:val="44E1092B"/>
    <w:rsid w:val="450B1C91"/>
    <w:rsid w:val="450B7DF3"/>
    <w:rsid w:val="451A4648"/>
    <w:rsid w:val="451F161B"/>
    <w:rsid w:val="4523973F"/>
    <w:rsid w:val="45256B3F"/>
    <w:rsid w:val="453C7898"/>
    <w:rsid w:val="454F3FBF"/>
    <w:rsid w:val="45605CF4"/>
    <w:rsid w:val="4564201C"/>
    <w:rsid w:val="457B0D80"/>
    <w:rsid w:val="45875897"/>
    <w:rsid w:val="45910879"/>
    <w:rsid w:val="45BD6050"/>
    <w:rsid w:val="45C206D9"/>
    <w:rsid w:val="45D12548"/>
    <w:rsid w:val="45D365A3"/>
    <w:rsid w:val="45DA6B9F"/>
    <w:rsid w:val="45E5517C"/>
    <w:rsid w:val="45E91C44"/>
    <w:rsid w:val="45F721A1"/>
    <w:rsid w:val="45FD0226"/>
    <w:rsid w:val="4626771B"/>
    <w:rsid w:val="462907EA"/>
    <w:rsid w:val="46364CA7"/>
    <w:rsid w:val="46455839"/>
    <w:rsid w:val="46721079"/>
    <w:rsid w:val="468E0C5F"/>
    <w:rsid w:val="46C406C4"/>
    <w:rsid w:val="46CBF9F9"/>
    <w:rsid w:val="46D126C5"/>
    <w:rsid w:val="46EE195C"/>
    <w:rsid w:val="46EE5861"/>
    <w:rsid w:val="46FD0EB1"/>
    <w:rsid w:val="46FF4261"/>
    <w:rsid w:val="470578AE"/>
    <w:rsid w:val="470E4D17"/>
    <w:rsid w:val="472A28FB"/>
    <w:rsid w:val="47376F28"/>
    <w:rsid w:val="475F4207"/>
    <w:rsid w:val="478055C7"/>
    <w:rsid w:val="4785332D"/>
    <w:rsid w:val="4791660D"/>
    <w:rsid w:val="47A23289"/>
    <w:rsid w:val="47AF7C1C"/>
    <w:rsid w:val="47BF4AEB"/>
    <w:rsid w:val="47CD163B"/>
    <w:rsid w:val="47CD7B38"/>
    <w:rsid w:val="47CE19D8"/>
    <w:rsid w:val="47DA0316"/>
    <w:rsid w:val="47F0E5E4"/>
    <w:rsid w:val="47FE1CD2"/>
    <w:rsid w:val="483740B5"/>
    <w:rsid w:val="484B7AA8"/>
    <w:rsid w:val="48593D6C"/>
    <w:rsid w:val="48724E89"/>
    <w:rsid w:val="487A3533"/>
    <w:rsid w:val="48946DE5"/>
    <w:rsid w:val="489575D5"/>
    <w:rsid w:val="48997CC2"/>
    <w:rsid w:val="48AC32B3"/>
    <w:rsid w:val="48AE321A"/>
    <w:rsid w:val="48AF18EA"/>
    <w:rsid w:val="48C40F94"/>
    <w:rsid w:val="48CF2CE2"/>
    <w:rsid w:val="48D53EF9"/>
    <w:rsid w:val="48F467ED"/>
    <w:rsid w:val="48F88821"/>
    <w:rsid w:val="48FC3563"/>
    <w:rsid w:val="491E6003"/>
    <w:rsid w:val="492321DD"/>
    <w:rsid w:val="493D6932"/>
    <w:rsid w:val="49491B55"/>
    <w:rsid w:val="49817868"/>
    <w:rsid w:val="49B00F56"/>
    <w:rsid w:val="49C05FC4"/>
    <w:rsid w:val="49CD0897"/>
    <w:rsid w:val="49D2190B"/>
    <w:rsid w:val="49EE1450"/>
    <w:rsid w:val="49F56C35"/>
    <w:rsid w:val="49F801EC"/>
    <w:rsid w:val="4A0D21C2"/>
    <w:rsid w:val="4A452197"/>
    <w:rsid w:val="4A4D3ADA"/>
    <w:rsid w:val="4A8D73EA"/>
    <w:rsid w:val="4ABE20DB"/>
    <w:rsid w:val="4AC00FE3"/>
    <w:rsid w:val="4AD54935"/>
    <w:rsid w:val="4AE84DE5"/>
    <w:rsid w:val="4B02784D"/>
    <w:rsid w:val="4B25790C"/>
    <w:rsid w:val="4B2A4A88"/>
    <w:rsid w:val="4B2E2C15"/>
    <w:rsid w:val="4B8607EF"/>
    <w:rsid w:val="4B966242"/>
    <w:rsid w:val="4BAB6845"/>
    <w:rsid w:val="4BE455D1"/>
    <w:rsid w:val="4C024840"/>
    <w:rsid w:val="4C236DBA"/>
    <w:rsid w:val="4C375CE9"/>
    <w:rsid w:val="4C45773E"/>
    <w:rsid w:val="4C532052"/>
    <w:rsid w:val="4C5B7215"/>
    <w:rsid w:val="4C5F3DA7"/>
    <w:rsid w:val="4C89CD61"/>
    <w:rsid w:val="4CA44180"/>
    <w:rsid w:val="4CA587A3"/>
    <w:rsid w:val="4CA94BBB"/>
    <w:rsid w:val="4CC36B68"/>
    <w:rsid w:val="4CD5022C"/>
    <w:rsid w:val="4CF55C28"/>
    <w:rsid w:val="4D0D3832"/>
    <w:rsid w:val="4D1B0122"/>
    <w:rsid w:val="4D251E09"/>
    <w:rsid w:val="4D352599"/>
    <w:rsid w:val="4D4B42C9"/>
    <w:rsid w:val="4D5300D0"/>
    <w:rsid w:val="4D5E3185"/>
    <w:rsid w:val="4D6D203C"/>
    <w:rsid w:val="4D76D4E4"/>
    <w:rsid w:val="4D7C2976"/>
    <w:rsid w:val="4D9475CF"/>
    <w:rsid w:val="4D995A41"/>
    <w:rsid w:val="4DA42E20"/>
    <w:rsid w:val="4DBF7733"/>
    <w:rsid w:val="4DCE4644"/>
    <w:rsid w:val="4DD51ABF"/>
    <w:rsid w:val="4DD74672"/>
    <w:rsid w:val="4DEC6B9B"/>
    <w:rsid w:val="4E0C0D2D"/>
    <w:rsid w:val="4E170A30"/>
    <w:rsid w:val="4E2B7597"/>
    <w:rsid w:val="4E3904C4"/>
    <w:rsid w:val="4E3B72FE"/>
    <w:rsid w:val="4E43479F"/>
    <w:rsid w:val="4E464D79"/>
    <w:rsid w:val="4E527455"/>
    <w:rsid w:val="4E751056"/>
    <w:rsid w:val="4E7B4367"/>
    <w:rsid w:val="4EAB0426"/>
    <w:rsid w:val="4EB84820"/>
    <w:rsid w:val="4EC6E15C"/>
    <w:rsid w:val="4ED96C3D"/>
    <w:rsid w:val="4EDF7428"/>
    <w:rsid w:val="4EEF6F26"/>
    <w:rsid w:val="4F3319E9"/>
    <w:rsid w:val="4F6253BF"/>
    <w:rsid w:val="4F782B44"/>
    <w:rsid w:val="4F7A5FD9"/>
    <w:rsid w:val="4F8A2910"/>
    <w:rsid w:val="4F8E2EAC"/>
    <w:rsid w:val="4FAE5C05"/>
    <w:rsid w:val="4FAF4381"/>
    <w:rsid w:val="4FDF1F0B"/>
    <w:rsid w:val="4FE45E79"/>
    <w:rsid w:val="50166A06"/>
    <w:rsid w:val="502960A6"/>
    <w:rsid w:val="502A762A"/>
    <w:rsid w:val="502F527D"/>
    <w:rsid w:val="503A700C"/>
    <w:rsid w:val="503B7E2C"/>
    <w:rsid w:val="504C6B10"/>
    <w:rsid w:val="50566671"/>
    <w:rsid w:val="50666ED0"/>
    <w:rsid w:val="509E27A0"/>
    <w:rsid w:val="50B75D3E"/>
    <w:rsid w:val="50C524F1"/>
    <w:rsid w:val="50F71B40"/>
    <w:rsid w:val="50FA247F"/>
    <w:rsid w:val="510A5C19"/>
    <w:rsid w:val="5117237B"/>
    <w:rsid w:val="514624AD"/>
    <w:rsid w:val="514B5E29"/>
    <w:rsid w:val="514C01BB"/>
    <w:rsid w:val="515D3F82"/>
    <w:rsid w:val="516A7BBB"/>
    <w:rsid w:val="518D70E5"/>
    <w:rsid w:val="51A76A58"/>
    <w:rsid w:val="51E44705"/>
    <w:rsid w:val="52023C94"/>
    <w:rsid w:val="5203450C"/>
    <w:rsid w:val="520A2D52"/>
    <w:rsid w:val="522055E6"/>
    <w:rsid w:val="52690FCE"/>
    <w:rsid w:val="527652FB"/>
    <w:rsid w:val="527862EE"/>
    <w:rsid w:val="529602EA"/>
    <w:rsid w:val="52F938A3"/>
    <w:rsid w:val="53000849"/>
    <w:rsid w:val="53183133"/>
    <w:rsid w:val="53385C49"/>
    <w:rsid w:val="53393907"/>
    <w:rsid w:val="534A3713"/>
    <w:rsid w:val="534E7803"/>
    <w:rsid w:val="53525838"/>
    <w:rsid w:val="536D782E"/>
    <w:rsid w:val="53784EF9"/>
    <w:rsid w:val="53B72C63"/>
    <w:rsid w:val="53BA3913"/>
    <w:rsid w:val="53BAC8B3"/>
    <w:rsid w:val="53BB3DBF"/>
    <w:rsid w:val="53BC59DD"/>
    <w:rsid w:val="53C4E943"/>
    <w:rsid w:val="53C9715A"/>
    <w:rsid w:val="53EA271C"/>
    <w:rsid w:val="53FC17CE"/>
    <w:rsid w:val="54092D01"/>
    <w:rsid w:val="540C7047"/>
    <w:rsid w:val="541C6673"/>
    <w:rsid w:val="542B2B59"/>
    <w:rsid w:val="5437502E"/>
    <w:rsid w:val="544308BF"/>
    <w:rsid w:val="5449144D"/>
    <w:rsid w:val="545D5D9B"/>
    <w:rsid w:val="54945613"/>
    <w:rsid w:val="54C8611F"/>
    <w:rsid w:val="54E8294F"/>
    <w:rsid w:val="54E82F69"/>
    <w:rsid w:val="551F2164"/>
    <w:rsid w:val="55236764"/>
    <w:rsid w:val="55545149"/>
    <w:rsid w:val="55954FB0"/>
    <w:rsid w:val="559830A2"/>
    <w:rsid w:val="559C6CA5"/>
    <w:rsid w:val="55A04616"/>
    <w:rsid w:val="55DD7B77"/>
    <w:rsid w:val="55E137D0"/>
    <w:rsid w:val="55FF7504"/>
    <w:rsid w:val="561541C3"/>
    <w:rsid w:val="56253C7F"/>
    <w:rsid w:val="562D690B"/>
    <w:rsid w:val="562F5EFE"/>
    <w:rsid w:val="563E026C"/>
    <w:rsid w:val="56457239"/>
    <w:rsid w:val="5664483F"/>
    <w:rsid w:val="566719DC"/>
    <w:rsid w:val="566BF412"/>
    <w:rsid w:val="567406D4"/>
    <w:rsid w:val="569D42F1"/>
    <w:rsid w:val="56A17DE6"/>
    <w:rsid w:val="56A88EC8"/>
    <w:rsid w:val="56B52C2D"/>
    <w:rsid w:val="56CC11C5"/>
    <w:rsid w:val="56D1D715"/>
    <w:rsid w:val="570D1A54"/>
    <w:rsid w:val="57286365"/>
    <w:rsid w:val="572C3A66"/>
    <w:rsid w:val="575046AD"/>
    <w:rsid w:val="577AFBB1"/>
    <w:rsid w:val="57815C85"/>
    <w:rsid w:val="57A831C9"/>
    <w:rsid w:val="57AE5183"/>
    <w:rsid w:val="57C61D7D"/>
    <w:rsid w:val="57D4431F"/>
    <w:rsid w:val="57D5E4E9"/>
    <w:rsid w:val="57DE7B77"/>
    <w:rsid w:val="57E15788"/>
    <w:rsid w:val="57E246E6"/>
    <w:rsid w:val="57EC72F5"/>
    <w:rsid w:val="57F20E0F"/>
    <w:rsid w:val="58207565"/>
    <w:rsid w:val="58214470"/>
    <w:rsid w:val="582D4928"/>
    <w:rsid w:val="58504777"/>
    <w:rsid w:val="587C3671"/>
    <w:rsid w:val="588E40C3"/>
    <w:rsid w:val="58922210"/>
    <w:rsid w:val="58A07E1B"/>
    <w:rsid w:val="58A37382"/>
    <w:rsid w:val="58BA52C3"/>
    <w:rsid w:val="58C1031C"/>
    <w:rsid w:val="58D338A8"/>
    <w:rsid w:val="58DA7713"/>
    <w:rsid w:val="58DC1E15"/>
    <w:rsid w:val="58E1010E"/>
    <w:rsid w:val="58F72C59"/>
    <w:rsid w:val="59103C07"/>
    <w:rsid w:val="5914657A"/>
    <w:rsid w:val="591FD831"/>
    <w:rsid w:val="594EDAF1"/>
    <w:rsid w:val="59512731"/>
    <w:rsid w:val="59593098"/>
    <w:rsid w:val="595E580C"/>
    <w:rsid w:val="5962BC83"/>
    <w:rsid w:val="598919F4"/>
    <w:rsid w:val="59965427"/>
    <w:rsid w:val="599C2BF2"/>
    <w:rsid w:val="59AC6EE1"/>
    <w:rsid w:val="59D71C5C"/>
    <w:rsid w:val="59E24AD2"/>
    <w:rsid w:val="59E959BB"/>
    <w:rsid w:val="59ED39B7"/>
    <w:rsid w:val="59F65367"/>
    <w:rsid w:val="5A0A74C7"/>
    <w:rsid w:val="5A19DCD7"/>
    <w:rsid w:val="5A230493"/>
    <w:rsid w:val="5A285A0E"/>
    <w:rsid w:val="5A6657C1"/>
    <w:rsid w:val="5A697F9B"/>
    <w:rsid w:val="5A843D83"/>
    <w:rsid w:val="5A847D1C"/>
    <w:rsid w:val="5AFF3EBC"/>
    <w:rsid w:val="5B1155A2"/>
    <w:rsid w:val="5B1C0AFF"/>
    <w:rsid w:val="5B1F684E"/>
    <w:rsid w:val="5B282809"/>
    <w:rsid w:val="5B35FA82"/>
    <w:rsid w:val="5B6663C4"/>
    <w:rsid w:val="5B66D99F"/>
    <w:rsid w:val="5B6F7D64"/>
    <w:rsid w:val="5B7E7FAA"/>
    <w:rsid w:val="5BA03ACB"/>
    <w:rsid w:val="5BA45820"/>
    <w:rsid w:val="5BAF07BF"/>
    <w:rsid w:val="5BB66CA7"/>
    <w:rsid w:val="5BD6772F"/>
    <w:rsid w:val="5BFA612C"/>
    <w:rsid w:val="5C442DF7"/>
    <w:rsid w:val="5C51AC4C"/>
    <w:rsid w:val="5C66374E"/>
    <w:rsid w:val="5C7B59A2"/>
    <w:rsid w:val="5C897AEB"/>
    <w:rsid w:val="5CC2459D"/>
    <w:rsid w:val="5CCE758F"/>
    <w:rsid w:val="5CE3763F"/>
    <w:rsid w:val="5CE50AAC"/>
    <w:rsid w:val="5CEA069B"/>
    <w:rsid w:val="5CF840F2"/>
    <w:rsid w:val="5D0222AF"/>
    <w:rsid w:val="5D076C82"/>
    <w:rsid w:val="5D1C2595"/>
    <w:rsid w:val="5D365C91"/>
    <w:rsid w:val="5D747693"/>
    <w:rsid w:val="5D761735"/>
    <w:rsid w:val="5D7F7EA5"/>
    <w:rsid w:val="5D8365CC"/>
    <w:rsid w:val="5DC310BE"/>
    <w:rsid w:val="5DC56BE4"/>
    <w:rsid w:val="5DC80482"/>
    <w:rsid w:val="5DC90D7E"/>
    <w:rsid w:val="5DCD1661"/>
    <w:rsid w:val="5DDE0FF9"/>
    <w:rsid w:val="5DFB1578"/>
    <w:rsid w:val="5DFD00AD"/>
    <w:rsid w:val="5E00022A"/>
    <w:rsid w:val="5E003E17"/>
    <w:rsid w:val="5E41FAA4"/>
    <w:rsid w:val="5E5C0303"/>
    <w:rsid w:val="5E9B37B5"/>
    <w:rsid w:val="5EA23333"/>
    <w:rsid w:val="5EAD2373"/>
    <w:rsid w:val="5EDE33C0"/>
    <w:rsid w:val="5EE24BEA"/>
    <w:rsid w:val="5F053010"/>
    <w:rsid w:val="5F1A6ABC"/>
    <w:rsid w:val="5F2172F5"/>
    <w:rsid w:val="5F24D4A4"/>
    <w:rsid w:val="5F376813"/>
    <w:rsid w:val="5F381500"/>
    <w:rsid w:val="5F623411"/>
    <w:rsid w:val="5F7A5DD6"/>
    <w:rsid w:val="5FB011CE"/>
    <w:rsid w:val="5FC174BF"/>
    <w:rsid w:val="5FCD537C"/>
    <w:rsid w:val="5FD06CD8"/>
    <w:rsid w:val="5FD807EF"/>
    <w:rsid w:val="5FDC30E1"/>
    <w:rsid w:val="5FF32001"/>
    <w:rsid w:val="600AEC1C"/>
    <w:rsid w:val="600B3771"/>
    <w:rsid w:val="60356E5E"/>
    <w:rsid w:val="606A6521"/>
    <w:rsid w:val="60777BA5"/>
    <w:rsid w:val="6098009C"/>
    <w:rsid w:val="60BA3F90"/>
    <w:rsid w:val="60EE1ECE"/>
    <w:rsid w:val="60F93F9A"/>
    <w:rsid w:val="60F964EC"/>
    <w:rsid w:val="615390A9"/>
    <w:rsid w:val="6155E654"/>
    <w:rsid w:val="61638AE9"/>
    <w:rsid w:val="61712162"/>
    <w:rsid w:val="61A15272"/>
    <w:rsid w:val="61D07C6C"/>
    <w:rsid w:val="61D37678"/>
    <w:rsid w:val="61E36654"/>
    <w:rsid w:val="61EFB163"/>
    <w:rsid w:val="623205C0"/>
    <w:rsid w:val="62764980"/>
    <w:rsid w:val="627800B0"/>
    <w:rsid w:val="62804F1E"/>
    <w:rsid w:val="628B110A"/>
    <w:rsid w:val="628F23C2"/>
    <w:rsid w:val="62BA5B89"/>
    <w:rsid w:val="62CA6A4B"/>
    <w:rsid w:val="62E461C6"/>
    <w:rsid w:val="62F4531A"/>
    <w:rsid w:val="62F45876"/>
    <w:rsid w:val="637040FC"/>
    <w:rsid w:val="63907747"/>
    <w:rsid w:val="63BD3EBA"/>
    <w:rsid w:val="63C17048"/>
    <w:rsid w:val="63E72111"/>
    <w:rsid w:val="6414CE7E"/>
    <w:rsid w:val="6415585C"/>
    <w:rsid w:val="64382287"/>
    <w:rsid w:val="643B5DD7"/>
    <w:rsid w:val="6456157F"/>
    <w:rsid w:val="6458B4E5"/>
    <w:rsid w:val="646B3837"/>
    <w:rsid w:val="64801FDE"/>
    <w:rsid w:val="648E5A77"/>
    <w:rsid w:val="64BD07AB"/>
    <w:rsid w:val="64C151D6"/>
    <w:rsid w:val="64CE7A66"/>
    <w:rsid w:val="64EE5D87"/>
    <w:rsid w:val="64EEA704"/>
    <w:rsid w:val="64F15B46"/>
    <w:rsid w:val="64F838A8"/>
    <w:rsid w:val="65076C82"/>
    <w:rsid w:val="65135533"/>
    <w:rsid w:val="652D4A3B"/>
    <w:rsid w:val="653E53D4"/>
    <w:rsid w:val="657DA605"/>
    <w:rsid w:val="65896749"/>
    <w:rsid w:val="658E3990"/>
    <w:rsid w:val="659C36D4"/>
    <w:rsid w:val="65A334C3"/>
    <w:rsid w:val="65E03254"/>
    <w:rsid w:val="65E141CA"/>
    <w:rsid w:val="66071AE7"/>
    <w:rsid w:val="66175E8F"/>
    <w:rsid w:val="6617E2F4"/>
    <w:rsid w:val="661E9C65"/>
    <w:rsid w:val="66383CCB"/>
    <w:rsid w:val="66667CC6"/>
    <w:rsid w:val="66760283"/>
    <w:rsid w:val="66997839"/>
    <w:rsid w:val="66ED2CD5"/>
    <w:rsid w:val="67541570"/>
    <w:rsid w:val="675646F4"/>
    <w:rsid w:val="67753429"/>
    <w:rsid w:val="67781DBB"/>
    <w:rsid w:val="67A37331"/>
    <w:rsid w:val="67D6064A"/>
    <w:rsid w:val="67E792E9"/>
    <w:rsid w:val="67F50A8B"/>
    <w:rsid w:val="68060D49"/>
    <w:rsid w:val="68163397"/>
    <w:rsid w:val="682249D0"/>
    <w:rsid w:val="68432F4E"/>
    <w:rsid w:val="68463D3F"/>
    <w:rsid w:val="6846655A"/>
    <w:rsid w:val="684E363B"/>
    <w:rsid w:val="685D514D"/>
    <w:rsid w:val="688095CC"/>
    <w:rsid w:val="68C36A23"/>
    <w:rsid w:val="68CC420A"/>
    <w:rsid w:val="68F31801"/>
    <w:rsid w:val="68F60F02"/>
    <w:rsid w:val="68FA50D8"/>
    <w:rsid w:val="691100F4"/>
    <w:rsid w:val="691762DC"/>
    <w:rsid w:val="692CBC56"/>
    <w:rsid w:val="6960590B"/>
    <w:rsid w:val="69782D5D"/>
    <w:rsid w:val="69914D2A"/>
    <w:rsid w:val="699F3323"/>
    <w:rsid w:val="69B011A8"/>
    <w:rsid w:val="69EE4381"/>
    <w:rsid w:val="69F42ED2"/>
    <w:rsid w:val="6A086DE1"/>
    <w:rsid w:val="6A520D1E"/>
    <w:rsid w:val="6A5B4B1E"/>
    <w:rsid w:val="6A6F77B8"/>
    <w:rsid w:val="6AB115DD"/>
    <w:rsid w:val="6AD17A38"/>
    <w:rsid w:val="6AD36521"/>
    <w:rsid w:val="6AD65AA9"/>
    <w:rsid w:val="6B0845B4"/>
    <w:rsid w:val="6B5A6629"/>
    <w:rsid w:val="6B5E41D4"/>
    <w:rsid w:val="6B6D74AD"/>
    <w:rsid w:val="6BCF263E"/>
    <w:rsid w:val="6C0A4C10"/>
    <w:rsid w:val="6C0C0043"/>
    <w:rsid w:val="6C123DC2"/>
    <w:rsid w:val="6C12403C"/>
    <w:rsid w:val="6C1242E2"/>
    <w:rsid w:val="6C3C01B9"/>
    <w:rsid w:val="6C4E5B82"/>
    <w:rsid w:val="6C927AFA"/>
    <w:rsid w:val="6C9555EB"/>
    <w:rsid w:val="6CA004C6"/>
    <w:rsid w:val="6CAC1676"/>
    <w:rsid w:val="6CAE5601"/>
    <w:rsid w:val="6CB02278"/>
    <w:rsid w:val="6CC1B74F"/>
    <w:rsid w:val="6CDB1F80"/>
    <w:rsid w:val="6D02028F"/>
    <w:rsid w:val="6D097245"/>
    <w:rsid w:val="6D1A2F53"/>
    <w:rsid w:val="6D2C27DC"/>
    <w:rsid w:val="6D336BE5"/>
    <w:rsid w:val="6D3D26C4"/>
    <w:rsid w:val="6D620D3C"/>
    <w:rsid w:val="6D6B522C"/>
    <w:rsid w:val="6D7A2CA7"/>
    <w:rsid w:val="6D7A48E9"/>
    <w:rsid w:val="6D7C48EA"/>
    <w:rsid w:val="6D7F1130"/>
    <w:rsid w:val="6D85FBCE"/>
    <w:rsid w:val="6DC33939"/>
    <w:rsid w:val="6DC44A8A"/>
    <w:rsid w:val="6DD7629D"/>
    <w:rsid w:val="6DE76133"/>
    <w:rsid w:val="6DEA13C4"/>
    <w:rsid w:val="6DEA46B7"/>
    <w:rsid w:val="6DEC510F"/>
    <w:rsid w:val="6E0A107E"/>
    <w:rsid w:val="6E130516"/>
    <w:rsid w:val="6E2C3207"/>
    <w:rsid w:val="6E565636"/>
    <w:rsid w:val="6E5FC2FB"/>
    <w:rsid w:val="6E9116FB"/>
    <w:rsid w:val="6EA86B89"/>
    <w:rsid w:val="6EBE184F"/>
    <w:rsid w:val="6EC138B8"/>
    <w:rsid w:val="6EC503F9"/>
    <w:rsid w:val="6EC707D9"/>
    <w:rsid w:val="6ED42224"/>
    <w:rsid w:val="6ED67A67"/>
    <w:rsid w:val="6EDD0049"/>
    <w:rsid w:val="6EDF2EEC"/>
    <w:rsid w:val="6EDF37FE"/>
    <w:rsid w:val="6EF931CA"/>
    <w:rsid w:val="6F007DA7"/>
    <w:rsid w:val="6F16E1DB"/>
    <w:rsid w:val="6F1928EC"/>
    <w:rsid w:val="6F4B38BC"/>
    <w:rsid w:val="6F4E3BE4"/>
    <w:rsid w:val="6F5D6229"/>
    <w:rsid w:val="6F5E0E95"/>
    <w:rsid w:val="6F6F451A"/>
    <w:rsid w:val="6F716F2F"/>
    <w:rsid w:val="6F733567"/>
    <w:rsid w:val="6F915350"/>
    <w:rsid w:val="6FA7543D"/>
    <w:rsid w:val="6FAA0376"/>
    <w:rsid w:val="6FFC7E4C"/>
    <w:rsid w:val="701A1E83"/>
    <w:rsid w:val="701F405A"/>
    <w:rsid w:val="7034465E"/>
    <w:rsid w:val="70394F30"/>
    <w:rsid w:val="706358FB"/>
    <w:rsid w:val="70715E97"/>
    <w:rsid w:val="707A560C"/>
    <w:rsid w:val="70907AAB"/>
    <w:rsid w:val="70A61B65"/>
    <w:rsid w:val="70C935FC"/>
    <w:rsid w:val="70D9CCB2"/>
    <w:rsid w:val="70F33611"/>
    <w:rsid w:val="70F41329"/>
    <w:rsid w:val="710B26BE"/>
    <w:rsid w:val="714C256E"/>
    <w:rsid w:val="7164387A"/>
    <w:rsid w:val="719B728B"/>
    <w:rsid w:val="719F0766"/>
    <w:rsid w:val="71A30B93"/>
    <w:rsid w:val="71A52E8F"/>
    <w:rsid w:val="71BC1C54"/>
    <w:rsid w:val="71DD6773"/>
    <w:rsid w:val="71F641B1"/>
    <w:rsid w:val="71FC4B34"/>
    <w:rsid w:val="7205BEA6"/>
    <w:rsid w:val="724118F3"/>
    <w:rsid w:val="72621B68"/>
    <w:rsid w:val="727146D9"/>
    <w:rsid w:val="728873C3"/>
    <w:rsid w:val="72930AC8"/>
    <w:rsid w:val="729EDBBD"/>
    <w:rsid w:val="72AD687C"/>
    <w:rsid w:val="72E60AFA"/>
    <w:rsid w:val="72E62A82"/>
    <w:rsid w:val="72FDF143"/>
    <w:rsid w:val="7305498B"/>
    <w:rsid w:val="7310996D"/>
    <w:rsid w:val="73164AEF"/>
    <w:rsid w:val="731676BE"/>
    <w:rsid w:val="73385847"/>
    <w:rsid w:val="734608C8"/>
    <w:rsid w:val="73523B65"/>
    <w:rsid w:val="7387145E"/>
    <w:rsid w:val="73A46757"/>
    <w:rsid w:val="73A96C88"/>
    <w:rsid w:val="73BE3BC0"/>
    <w:rsid w:val="73DD20B5"/>
    <w:rsid w:val="73F30A24"/>
    <w:rsid w:val="740F13A0"/>
    <w:rsid w:val="740F1732"/>
    <w:rsid w:val="74395707"/>
    <w:rsid w:val="744F52AA"/>
    <w:rsid w:val="74625526"/>
    <w:rsid w:val="74737229"/>
    <w:rsid w:val="747B78B3"/>
    <w:rsid w:val="748C038F"/>
    <w:rsid w:val="74A92964"/>
    <w:rsid w:val="74B4AB20"/>
    <w:rsid w:val="74C5678E"/>
    <w:rsid w:val="74C6742F"/>
    <w:rsid w:val="74C7692B"/>
    <w:rsid w:val="74C81F26"/>
    <w:rsid w:val="751F536D"/>
    <w:rsid w:val="75466D62"/>
    <w:rsid w:val="754B0E6C"/>
    <w:rsid w:val="755A1920"/>
    <w:rsid w:val="755F1275"/>
    <w:rsid w:val="75650CA6"/>
    <w:rsid w:val="75A37283"/>
    <w:rsid w:val="75B67E87"/>
    <w:rsid w:val="75CD4A45"/>
    <w:rsid w:val="75D60992"/>
    <w:rsid w:val="75F35AB0"/>
    <w:rsid w:val="75F81B85"/>
    <w:rsid w:val="75FC2B54"/>
    <w:rsid w:val="76047964"/>
    <w:rsid w:val="760E4029"/>
    <w:rsid w:val="763027E7"/>
    <w:rsid w:val="76604420"/>
    <w:rsid w:val="76604F4D"/>
    <w:rsid w:val="766BD3CD"/>
    <w:rsid w:val="767B19C5"/>
    <w:rsid w:val="768076F4"/>
    <w:rsid w:val="76E7FA49"/>
    <w:rsid w:val="76E82CAC"/>
    <w:rsid w:val="77057BFA"/>
    <w:rsid w:val="770C08ED"/>
    <w:rsid w:val="771F2441"/>
    <w:rsid w:val="772D266D"/>
    <w:rsid w:val="77303E69"/>
    <w:rsid w:val="77AC7F9D"/>
    <w:rsid w:val="77B52D54"/>
    <w:rsid w:val="77C27C4C"/>
    <w:rsid w:val="77CE623E"/>
    <w:rsid w:val="77CEAFA5"/>
    <w:rsid w:val="77F65404"/>
    <w:rsid w:val="78012A39"/>
    <w:rsid w:val="78066D81"/>
    <w:rsid w:val="780B27B5"/>
    <w:rsid w:val="78127739"/>
    <w:rsid w:val="78127DE8"/>
    <w:rsid w:val="7827392D"/>
    <w:rsid w:val="782D2E4E"/>
    <w:rsid w:val="7847E6AD"/>
    <w:rsid w:val="78537322"/>
    <w:rsid w:val="788318A0"/>
    <w:rsid w:val="7884B588"/>
    <w:rsid w:val="78890E39"/>
    <w:rsid w:val="78973DD4"/>
    <w:rsid w:val="789D458E"/>
    <w:rsid w:val="78BA2C76"/>
    <w:rsid w:val="78BC362E"/>
    <w:rsid w:val="78E71CAD"/>
    <w:rsid w:val="78ED0BD0"/>
    <w:rsid w:val="78FA6DBD"/>
    <w:rsid w:val="78FF3A9E"/>
    <w:rsid w:val="7907DD4A"/>
    <w:rsid w:val="7919798C"/>
    <w:rsid w:val="79286D28"/>
    <w:rsid w:val="79355B9E"/>
    <w:rsid w:val="794739E7"/>
    <w:rsid w:val="79533C02"/>
    <w:rsid w:val="796154E7"/>
    <w:rsid w:val="79936FCC"/>
    <w:rsid w:val="79992730"/>
    <w:rsid w:val="79AB0782"/>
    <w:rsid w:val="79B720A3"/>
    <w:rsid w:val="79B924A7"/>
    <w:rsid w:val="79CD165B"/>
    <w:rsid w:val="79E96FA6"/>
    <w:rsid w:val="79FEF801"/>
    <w:rsid w:val="7A0120B0"/>
    <w:rsid w:val="7A036DE6"/>
    <w:rsid w:val="7A12251E"/>
    <w:rsid w:val="7A154DC9"/>
    <w:rsid w:val="7A185606"/>
    <w:rsid w:val="7A445D7B"/>
    <w:rsid w:val="7A4B2275"/>
    <w:rsid w:val="7A5D5C88"/>
    <w:rsid w:val="7A5F4AF9"/>
    <w:rsid w:val="7A6A36D7"/>
    <w:rsid w:val="7A8F6D90"/>
    <w:rsid w:val="7AA00365"/>
    <w:rsid w:val="7AD4603F"/>
    <w:rsid w:val="7AD83C49"/>
    <w:rsid w:val="7AF06B00"/>
    <w:rsid w:val="7AF20149"/>
    <w:rsid w:val="7B1F6A85"/>
    <w:rsid w:val="7B252227"/>
    <w:rsid w:val="7B295B47"/>
    <w:rsid w:val="7B2E771F"/>
    <w:rsid w:val="7B3B008E"/>
    <w:rsid w:val="7B48480E"/>
    <w:rsid w:val="7B56B43E"/>
    <w:rsid w:val="7B6DA345"/>
    <w:rsid w:val="7B8241C6"/>
    <w:rsid w:val="7BA10EA9"/>
    <w:rsid w:val="7BD14CD9"/>
    <w:rsid w:val="7BF20D61"/>
    <w:rsid w:val="7BFD5343"/>
    <w:rsid w:val="7C1D555F"/>
    <w:rsid w:val="7C57649B"/>
    <w:rsid w:val="7C5B6A3F"/>
    <w:rsid w:val="7C5D20C8"/>
    <w:rsid w:val="7C631D89"/>
    <w:rsid w:val="7C6E7C1A"/>
    <w:rsid w:val="7C894643"/>
    <w:rsid w:val="7C9079E3"/>
    <w:rsid w:val="7CA21B9E"/>
    <w:rsid w:val="7CAC1CD8"/>
    <w:rsid w:val="7CB704D1"/>
    <w:rsid w:val="7CC52EA6"/>
    <w:rsid w:val="7CCD4C33"/>
    <w:rsid w:val="7CDB9E54"/>
    <w:rsid w:val="7CDF5E82"/>
    <w:rsid w:val="7CF84302"/>
    <w:rsid w:val="7D012775"/>
    <w:rsid w:val="7D0E8505"/>
    <w:rsid w:val="7D157114"/>
    <w:rsid w:val="7D171E66"/>
    <w:rsid w:val="7D1B1F25"/>
    <w:rsid w:val="7D221B52"/>
    <w:rsid w:val="7D2A02EF"/>
    <w:rsid w:val="7D6D4D61"/>
    <w:rsid w:val="7D7E5154"/>
    <w:rsid w:val="7D8115D4"/>
    <w:rsid w:val="7D936072"/>
    <w:rsid w:val="7D9B0433"/>
    <w:rsid w:val="7DAE4B47"/>
    <w:rsid w:val="7DB3F99B"/>
    <w:rsid w:val="7DB8492A"/>
    <w:rsid w:val="7DC81AF2"/>
    <w:rsid w:val="7DCDE89D"/>
    <w:rsid w:val="7DF6DB8A"/>
    <w:rsid w:val="7DFA1ED5"/>
    <w:rsid w:val="7E14223D"/>
    <w:rsid w:val="7E4D18AA"/>
    <w:rsid w:val="7E510A4D"/>
    <w:rsid w:val="7E5E26EE"/>
    <w:rsid w:val="7E64482E"/>
    <w:rsid w:val="7E650485"/>
    <w:rsid w:val="7E6A2CF9"/>
    <w:rsid w:val="7E922066"/>
    <w:rsid w:val="7E9FA644"/>
    <w:rsid w:val="7EBE3FD4"/>
    <w:rsid w:val="7EC81C39"/>
    <w:rsid w:val="7EE3E01D"/>
    <w:rsid w:val="7F1B46D7"/>
    <w:rsid w:val="7F32711A"/>
    <w:rsid w:val="7F6A3571"/>
    <w:rsid w:val="7F6F21A2"/>
    <w:rsid w:val="7F742459"/>
    <w:rsid w:val="7FA385F2"/>
    <w:rsid w:val="7FE86E7F"/>
    <w:rsid w:val="815D45D3"/>
    <w:rsid w:val="81C489F2"/>
    <w:rsid w:val="81CBEA39"/>
    <w:rsid w:val="81CF624E"/>
    <w:rsid w:val="825E8A63"/>
    <w:rsid w:val="82880544"/>
    <w:rsid w:val="82A1363F"/>
    <w:rsid w:val="842D8551"/>
    <w:rsid w:val="855F7A0C"/>
    <w:rsid w:val="85C8F573"/>
    <w:rsid w:val="85DE0D1E"/>
    <w:rsid w:val="85F74D40"/>
    <w:rsid w:val="863191DF"/>
    <w:rsid w:val="869A0824"/>
    <w:rsid w:val="86CF7773"/>
    <w:rsid w:val="871C433C"/>
    <w:rsid w:val="8736A10B"/>
    <w:rsid w:val="87462CC2"/>
    <w:rsid w:val="87D739E9"/>
    <w:rsid w:val="88363D3A"/>
    <w:rsid w:val="8865E0AA"/>
    <w:rsid w:val="895052C8"/>
    <w:rsid w:val="89595529"/>
    <w:rsid w:val="89A05FF8"/>
    <w:rsid w:val="8AFF99D9"/>
    <w:rsid w:val="8BA9993A"/>
    <w:rsid w:val="8C1426B3"/>
    <w:rsid w:val="8D6D93EB"/>
    <w:rsid w:val="8E387917"/>
    <w:rsid w:val="8EB53A38"/>
    <w:rsid w:val="8EEF074B"/>
    <w:rsid w:val="8FC25D5B"/>
    <w:rsid w:val="902A8A8F"/>
    <w:rsid w:val="90495A93"/>
    <w:rsid w:val="90655946"/>
    <w:rsid w:val="906764F3"/>
    <w:rsid w:val="9082A08C"/>
    <w:rsid w:val="9213F3EF"/>
    <w:rsid w:val="9255419B"/>
    <w:rsid w:val="92ECD8F6"/>
    <w:rsid w:val="92EFA03A"/>
    <w:rsid w:val="938DAA7A"/>
    <w:rsid w:val="9406F983"/>
    <w:rsid w:val="940AEFB5"/>
    <w:rsid w:val="94B38D50"/>
    <w:rsid w:val="94B6B687"/>
    <w:rsid w:val="959BDAC4"/>
    <w:rsid w:val="964BA021"/>
    <w:rsid w:val="968D08AD"/>
    <w:rsid w:val="96CDAE63"/>
    <w:rsid w:val="96D10F72"/>
    <w:rsid w:val="9746BCDC"/>
    <w:rsid w:val="988A3FC8"/>
    <w:rsid w:val="98B5ED45"/>
    <w:rsid w:val="9A1B7584"/>
    <w:rsid w:val="9A58B76F"/>
    <w:rsid w:val="9BF73E76"/>
    <w:rsid w:val="9BF90BD3"/>
    <w:rsid w:val="9C0431BC"/>
    <w:rsid w:val="9C4CE787"/>
    <w:rsid w:val="9C9CF0A7"/>
    <w:rsid w:val="9CCF0251"/>
    <w:rsid w:val="9D7B6C20"/>
    <w:rsid w:val="A0423F4C"/>
    <w:rsid w:val="A0753DE4"/>
    <w:rsid w:val="A0D61FBB"/>
    <w:rsid w:val="A1B86BA4"/>
    <w:rsid w:val="A21E7CD4"/>
    <w:rsid w:val="A29432E4"/>
    <w:rsid w:val="A411544A"/>
    <w:rsid w:val="A433B70A"/>
    <w:rsid w:val="A443D049"/>
    <w:rsid w:val="A4535C0A"/>
    <w:rsid w:val="A45EBF13"/>
    <w:rsid w:val="A5357876"/>
    <w:rsid w:val="A5D7CA9E"/>
    <w:rsid w:val="A6081D0F"/>
    <w:rsid w:val="A615308D"/>
    <w:rsid w:val="A6602DBF"/>
    <w:rsid w:val="A7344BEE"/>
    <w:rsid w:val="A75FE230"/>
    <w:rsid w:val="A82B9E91"/>
    <w:rsid w:val="A86BD89E"/>
    <w:rsid w:val="A86FC1D4"/>
    <w:rsid w:val="A88E6534"/>
    <w:rsid w:val="A8BEEB65"/>
    <w:rsid w:val="A8DA5B92"/>
    <w:rsid w:val="AA77A50B"/>
    <w:rsid w:val="AACDD43E"/>
    <w:rsid w:val="AB3B5A64"/>
    <w:rsid w:val="AD43DD82"/>
    <w:rsid w:val="AE726E54"/>
    <w:rsid w:val="B008F4B7"/>
    <w:rsid w:val="B01EDF56"/>
    <w:rsid w:val="B0299B1A"/>
    <w:rsid w:val="B10825E1"/>
    <w:rsid w:val="B16115AC"/>
    <w:rsid w:val="B25C5A21"/>
    <w:rsid w:val="B267DEDF"/>
    <w:rsid w:val="B28BDAC6"/>
    <w:rsid w:val="B2BA9AD5"/>
    <w:rsid w:val="B34B1E32"/>
    <w:rsid w:val="B38D3C80"/>
    <w:rsid w:val="B38F5CD6"/>
    <w:rsid w:val="B4F719AB"/>
    <w:rsid w:val="B517B867"/>
    <w:rsid w:val="B54724AE"/>
    <w:rsid w:val="B556C168"/>
    <w:rsid w:val="B5C884F4"/>
    <w:rsid w:val="B66B7B24"/>
    <w:rsid w:val="B6859ED6"/>
    <w:rsid w:val="B68E5B2F"/>
    <w:rsid w:val="B6B6F1DA"/>
    <w:rsid w:val="B7066DD9"/>
    <w:rsid w:val="B87AE262"/>
    <w:rsid w:val="B8B42B1F"/>
    <w:rsid w:val="B9E0510A"/>
    <w:rsid w:val="B9E080BC"/>
    <w:rsid w:val="BA36AC09"/>
    <w:rsid w:val="BA7D7EF2"/>
    <w:rsid w:val="BAFBC9FC"/>
    <w:rsid w:val="BC774970"/>
    <w:rsid w:val="BCCFBD97"/>
    <w:rsid w:val="BD069A6E"/>
    <w:rsid w:val="BDA0323A"/>
    <w:rsid w:val="BDAB9D0C"/>
    <w:rsid w:val="BE272DAF"/>
    <w:rsid w:val="BF7B4D5B"/>
    <w:rsid w:val="C0693078"/>
    <w:rsid w:val="C078693C"/>
    <w:rsid w:val="C0974243"/>
    <w:rsid w:val="C0C54371"/>
    <w:rsid w:val="C19E8C96"/>
    <w:rsid w:val="C1F0ECC3"/>
    <w:rsid w:val="C2437B8A"/>
    <w:rsid w:val="C327489A"/>
    <w:rsid w:val="C352C627"/>
    <w:rsid w:val="C35CBEFD"/>
    <w:rsid w:val="C3B498B0"/>
    <w:rsid w:val="C3D8FE08"/>
    <w:rsid w:val="C426A47F"/>
    <w:rsid w:val="C4799483"/>
    <w:rsid w:val="C6A31856"/>
    <w:rsid w:val="C6ADF10B"/>
    <w:rsid w:val="C70076C0"/>
    <w:rsid w:val="C8173597"/>
    <w:rsid w:val="C84541F7"/>
    <w:rsid w:val="C9B9DBE9"/>
    <w:rsid w:val="CADFE8D2"/>
    <w:rsid w:val="CB1D981C"/>
    <w:rsid w:val="CB4783B1"/>
    <w:rsid w:val="CB50AD2E"/>
    <w:rsid w:val="CBD4172E"/>
    <w:rsid w:val="CC53E3E9"/>
    <w:rsid w:val="CC82D264"/>
    <w:rsid w:val="CD7B8D6C"/>
    <w:rsid w:val="CE24C05A"/>
    <w:rsid w:val="CE834359"/>
    <w:rsid w:val="CE9A4710"/>
    <w:rsid w:val="CEC49205"/>
    <w:rsid w:val="CEFA3746"/>
    <w:rsid w:val="CF47F4C9"/>
    <w:rsid w:val="CFC7AE5D"/>
    <w:rsid w:val="D06D65EA"/>
    <w:rsid w:val="D0F7472E"/>
    <w:rsid w:val="D19FC85D"/>
    <w:rsid w:val="D1A612CF"/>
    <w:rsid w:val="D20AC37C"/>
    <w:rsid w:val="D263E0DF"/>
    <w:rsid w:val="D3026467"/>
    <w:rsid w:val="D4AB3698"/>
    <w:rsid w:val="D549A56F"/>
    <w:rsid w:val="D5529B35"/>
    <w:rsid w:val="D65FF33E"/>
    <w:rsid w:val="D6E05096"/>
    <w:rsid w:val="D774A8A3"/>
    <w:rsid w:val="D8174F1B"/>
    <w:rsid w:val="D826C7AF"/>
    <w:rsid w:val="D940AA7C"/>
    <w:rsid w:val="D9804CD7"/>
    <w:rsid w:val="D9918B7C"/>
    <w:rsid w:val="DA48CF4C"/>
    <w:rsid w:val="DAC9A9BC"/>
    <w:rsid w:val="DB1FDF15"/>
    <w:rsid w:val="DB5033A8"/>
    <w:rsid w:val="DB83A1A5"/>
    <w:rsid w:val="DBACCF6A"/>
    <w:rsid w:val="DCFF995B"/>
    <w:rsid w:val="DD1D316E"/>
    <w:rsid w:val="DD27902E"/>
    <w:rsid w:val="DDC5944B"/>
    <w:rsid w:val="DE032200"/>
    <w:rsid w:val="DE3DB8D3"/>
    <w:rsid w:val="DE88AB67"/>
    <w:rsid w:val="DF61F323"/>
    <w:rsid w:val="DFBC08CB"/>
    <w:rsid w:val="E0DFDE49"/>
    <w:rsid w:val="E140ADA8"/>
    <w:rsid w:val="E15F969C"/>
    <w:rsid w:val="E27DB72B"/>
    <w:rsid w:val="E30910E7"/>
    <w:rsid w:val="E3484BD9"/>
    <w:rsid w:val="E3FC5201"/>
    <w:rsid w:val="E41D66E0"/>
    <w:rsid w:val="E4202B2F"/>
    <w:rsid w:val="E46F218F"/>
    <w:rsid w:val="E4859783"/>
    <w:rsid w:val="E54FDCDC"/>
    <w:rsid w:val="E59BD697"/>
    <w:rsid w:val="E5AC5E59"/>
    <w:rsid w:val="E5D0C9A5"/>
    <w:rsid w:val="E5DC66C1"/>
    <w:rsid w:val="E6896E57"/>
    <w:rsid w:val="E7A86F72"/>
    <w:rsid w:val="E7B5A841"/>
    <w:rsid w:val="E7BEB275"/>
    <w:rsid w:val="E7E1D530"/>
    <w:rsid w:val="E829DA99"/>
    <w:rsid w:val="E866FA5E"/>
    <w:rsid w:val="E89A5BFD"/>
    <w:rsid w:val="E958C6DE"/>
    <w:rsid w:val="E95DB733"/>
    <w:rsid w:val="EC0CF28D"/>
    <w:rsid w:val="EC237187"/>
    <w:rsid w:val="EC5DFEF0"/>
    <w:rsid w:val="ED6049D3"/>
    <w:rsid w:val="EE88C759"/>
    <w:rsid w:val="EEA8D897"/>
    <w:rsid w:val="EECF9DAA"/>
    <w:rsid w:val="EF1ECBB2"/>
    <w:rsid w:val="EF709EB3"/>
    <w:rsid w:val="EF9940AB"/>
    <w:rsid w:val="EF9B5C93"/>
    <w:rsid w:val="EFB981E6"/>
    <w:rsid w:val="F022F41D"/>
    <w:rsid w:val="F095D3C1"/>
    <w:rsid w:val="F0962FDA"/>
    <w:rsid w:val="F19D0F0B"/>
    <w:rsid w:val="F19F5720"/>
    <w:rsid w:val="F1A3CD0C"/>
    <w:rsid w:val="F1BCC56D"/>
    <w:rsid w:val="F2AEB39F"/>
    <w:rsid w:val="F2CEDF74"/>
    <w:rsid w:val="F2D2431D"/>
    <w:rsid w:val="F428C0CE"/>
    <w:rsid w:val="F57F40B7"/>
    <w:rsid w:val="F5F36B7D"/>
    <w:rsid w:val="F61C54FF"/>
    <w:rsid w:val="F6288F44"/>
    <w:rsid w:val="F649FBB5"/>
    <w:rsid w:val="F6633F8B"/>
    <w:rsid w:val="F6902486"/>
    <w:rsid w:val="F7941D08"/>
    <w:rsid w:val="F819A319"/>
    <w:rsid w:val="F81A2641"/>
    <w:rsid w:val="F869D9D8"/>
    <w:rsid w:val="F8F35A9B"/>
    <w:rsid w:val="F974033D"/>
    <w:rsid w:val="FA7A8E70"/>
    <w:rsid w:val="FA9FE61C"/>
    <w:rsid w:val="FAD11090"/>
    <w:rsid w:val="FB59D600"/>
    <w:rsid w:val="FCA37699"/>
    <w:rsid w:val="FE0D56CC"/>
    <w:rsid w:val="FE951F29"/>
    <w:rsid w:val="FED26F5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uiPriority="99" w:name="index 1"/>
    <w:lsdException w:uiPriority="99" w:name="index 2"/>
    <w:lsdException w:uiPriority="99" w:name="index 3"/>
    <w:lsdException w:qFormat="1" w:unhideWhenUsed="0" w:uiPriority="0" w:semiHidden="0"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nhideWhenUsed="0" w:uiPriority="0"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qFormat="1" w:unhideWhenUsed="0" w:uiPriority="0" w:semiHidden="0" w:name="Normal Indent"/>
    <w:lsdException w:uiPriority="99"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qFormat="1" w:unhideWhenUsed="0" w:uiPriority="0" w:semiHidden="0" w:name="table of figures"/>
    <w:lsdException w:uiPriority="99" w:name="envelope address"/>
    <w:lsdException w:uiPriority="99" w:name="envelope return"/>
    <w:lsdException w:uiPriority="99" w:name="footnote reference"/>
    <w:lsdException w:qFormat="1" w:unhideWhenUsed="0" w:uiPriority="99" w:semiHidden="0"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qFormat="1" w:unhideWhenUsed="0" w:uiPriority="0" w:semiHidden="0" w:name="Body Text Indent 2"/>
    <w:lsdException w:qFormat="1" w:uiPriority="99" w:name="Body Text Indent 3"/>
    <w:lsdException w:uiPriority="99" w:name="Block Text"/>
    <w:lsdException w:qFormat="1" w:unhideWhenUsed="0" w:uiPriority="99" w:semiHidden="0" w:name="Hyperlink"/>
    <w:lsdException w:qFormat="1" w:uiPriority="99"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uiPriority="99" w:name="Plain Text"/>
    <w:lsdException w:uiPriority="99" w:name="E-mail Signature"/>
    <w:lsdException w:qFormat="1"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nhideWhenUsed="0" w:uiPriority="0"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nhideWhenUsed="0" w:uiPriority="0" w:semiHidden="0" w:name="Balloon Text"/>
    <w:lsdException w:qFormat="1" w:unhideWhenUsed="0" w:uiPriority="0" w:semiHidden="0" w:name="Table Grid"/>
    <w:lsdException w:uiPriority="99" w:name="Table Theme"/>
    <w:lsdException w:qFormat="1" w:unhideWhenUsed="0" w:uiPriority="0"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qFormat="1" w:unhideWhenUsed="0" w:uiPriority="0" w:semiHidden="0" w:name="Quote"/>
    <w:lsdException w:qFormat="1" w:unhideWhenUsed="0" w:uiPriority="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link w:val="102"/>
    <w:qFormat/>
    <w:uiPriority w:val="0"/>
    <w:pPr>
      <w:keepNext/>
      <w:keepLines/>
      <w:spacing w:before="340" w:after="330" w:line="576" w:lineRule="auto"/>
      <w:outlineLvl w:val="0"/>
    </w:pPr>
    <w:rPr>
      <w:rFonts w:ascii="Times New Roman" w:hAnsi="Times New Roman"/>
      <w:b/>
      <w:bCs/>
      <w:kern w:val="44"/>
      <w:sz w:val="44"/>
      <w:szCs w:val="44"/>
    </w:rPr>
  </w:style>
  <w:style w:type="paragraph" w:styleId="3">
    <w:name w:val="heading 2"/>
    <w:basedOn w:val="1"/>
    <w:next w:val="1"/>
    <w:link w:val="54"/>
    <w:qFormat/>
    <w:uiPriority w:val="0"/>
    <w:pPr>
      <w:keepNext/>
      <w:keepLines/>
      <w:spacing w:before="260" w:after="260" w:line="413" w:lineRule="auto"/>
      <w:outlineLvl w:val="1"/>
    </w:pPr>
    <w:rPr>
      <w:rFonts w:ascii="Cambria" w:hAnsi="Cambria"/>
      <w:b/>
      <w:bCs/>
      <w:sz w:val="32"/>
      <w:szCs w:val="32"/>
    </w:rPr>
  </w:style>
  <w:style w:type="paragraph" w:styleId="4">
    <w:name w:val="heading 3"/>
    <w:basedOn w:val="1"/>
    <w:next w:val="1"/>
    <w:link w:val="98"/>
    <w:qFormat/>
    <w:uiPriority w:val="0"/>
    <w:pPr>
      <w:keepNext/>
      <w:keepLines/>
      <w:spacing w:before="260" w:after="260" w:line="413" w:lineRule="auto"/>
      <w:outlineLvl w:val="2"/>
    </w:pPr>
    <w:rPr>
      <w:rFonts w:ascii="Times New Roman" w:hAnsi="Times New Roman"/>
      <w:b/>
      <w:bCs/>
      <w:sz w:val="32"/>
      <w:szCs w:val="32"/>
    </w:rPr>
  </w:style>
  <w:style w:type="paragraph" w:styleId="5">
    <w:name w:val="heading 4"/>
    <w:basedOn w:val="1"/>
    <w:next w:val="1"/>
    <w:link w:val="64"/>
    <w:qFormat/>
    <w:uiPriority w:val="0"/>
    <w:pPr>
      <w:keepNext/>
      <w:keepLines/>
      <w:spacing w:before="280" w:after="290" w:line="372" w:lineRule="auto"/>
      <w:outlineLvl w:val="3"/>
    </w:pPr>
    <w:rPr>
      <w:rFonts w:ascii="Cambria" w:hAnsi="Cambria"/>
      <w:b/>
      <w:bCs/>
      <w:sz w:val="28"/>
      <w:szCs w:val="28"/>
    </w:rPr>
  </w:style>
  <w:style w:type="paragraph" w:styleId="6">
    <w:name w:val="heading 5"/>
    <w:basedOn w:val="1"/>
    <w:next w:val="1"/>
    <w:link w:val="84"/>
    <w:qFormat/>
    <w:uiPriority w:val="0"/>
    <w:pPr>
      <w:keepNext/>
      <w:keepLines/>
      <w:spacing w:before="280" w:after="290" w:line="372" w:lineRule="auto"/>
      <w:outlineLvl w:val="4"/>
    </w:pPr>
    <w:rPr>
      <w:rFonts w:ascii="Times New Roman" w:hAnsi="Times New Roman"/>
      <w:b/>
      <w:bCs/>
      <w:sz w:val="28"/>
      <w:szCs w:val="28"/>
    </w:rPr>
  </w:style>
  <w:style w:type="paragraph" w:styleId="7">
    <w:name w:val="heading 6"/>
    <w:basedOn w:val="1"/>
    <w:next w:val="1"/>
    <w:link w:val="63"/>
    <w:qFormat/>
    <w:uiPriority w:val="0"/>
    <w:pPr>
      <w:keepNext/>
      <w:keepLines/>
      <w:spacing w:before="240" w:after="64" w:line="317" w:lineRule="auto"/>
      <w:outlineLvl w:val="5"/>
    </w:pPr>
    <w:rPr>
      <w:rFonts w:ascii="Cambria" w:hAnsi="Cambria"/>
      <w:b/>
      <w:bCs/>
      <w:sz w:val="24"/>
      <w:szCs w:val="24"/>
    </w:rPr>
  </w:style>
  <w:style w:type="paragraph" w:styleId="8">
    <w:name w:val="heading 7"/>
    <w:basedOn w:val="1"/>
    <w:next w:val="1"/>
    <w:link w:val="92"/>
    <w:qFormat/>
    <w:uiPriority w:val="0"/>
    <w:pPr>
      <w:keepNext/>
      <w:keepLines/>
      <w:spacing w:before="240" w:after="64" w:line="317" w:lineRule="auto"/>
      <w:outlineLvl w:val="6"/>
    </w:pPr>
    <w:rPr>
      <w:rFonts w:ascii="Times New Roman" w:hAnsi="Times New Roman"/>
      <w:b/>
      <w:bCs/>
      <w:sz w:val="24"/>
      <w:szCs w:val="24"/>
    </w:rPr>
  </w:style>
  <w:style w:type="paragraph" w:styleId="9">
    <w:name w:val="heading 8"/>
    <w:basedOn w:val="1"/>
    <w:next w:val="1"/>
    <w:link w:val="94"/>
    <w:qFormat/>
    <w:uiPriority w:val="0"/>
    <w:pPr>
      <w:keepNext/>
      <w:keepLines/>
      <w:spacing w:before="240" w:after="64" w:line="317" w:lineRule="auto"/>
      <w:outlineLvl w:val="7"/>
    </w:pPr>
    <w:rPr>
      <w:rFonts w:ascii="Cambria" w:hAnsi="Cambria"/>
      <w:sz w:val="24"/>
      <w:szCs w:val="24"/>
    </w:rPr>
  </w:style>
  <w:style w:type="paragraph" w:styleId="10">
    <w:name w:val="heading 9"/>
    <w:basedOn w:val="1"/>
    <w:next w:val="1"/>
    <w:link w:val="87"/>
    <w:qFormat/>
    <w:uiPriority w:val="0"/>
    <w:pPr>
      <w:keepNext/>
      <w:keepLines/>
      <w:spacing w:before="240" w:after="64" w:line="317" w:lineRule="auto"/>
      <w:outlineLvl w:val="8"/>
    </w:pPr>
    <w:rPr>
      <w:rFonts w:ascii="Cambria" w:hAnsi="Cambria"/>
      <w:szCs w:val="21"/>
    </w:rPr>
  </w:style>
  <w:style w:type="character" w:default="1" w:styleId="39">
    <w:name w:val="Default Paragraph Font"/>
    <w:semiHidden/>
    <w:unhideWhenUsed/>
    <w:uiPriority w:val="1"/>
  </w:style>
  <w:style w:type="table" w:default="1" w:styleId="37">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qFormat/>
    <w:uiPriority w:val="0"/>
    <w:pPr>
      <w:ind w:left="2520" w:leftChars="1200"/>
    </w:pPr>
    <w:rPr>
      <w:rFonts w:ascii="Times New Roman" w:hAnsi="Times New Roman"/>
    </w:rPr>
  </w:style>
  <w:style w:type="paragraph" w:styleId="12">
    <w:name w:val="Normal Indent"/>
    <w:basedOn w:val="1"/>
    <w:qFormat/>
    <w:uiPriority w:val="0"/>
    <w:pPr>
      <w:adjustRightInd w:val="0"/>
      <w:spacing w:line="360" w:lineRule="atLeast"/>
      <w:ind w:firstLine="482"/>
      <w:textAlignment w:val="baseline"/>
    </w:pPr>
    <w:rPr>
      <w:rFonts w:ascii="Times New Roman" w:hAnsi="Times New Roman"/>
      <w:kern w:val="0"/>
      <w:sz w:val="24"/>
      <w:szCs w:val="20"/>
    </w:rPr>
  </w:style>
  <w:style w:type="paragraph" w:styleId="13">
    <w:name w:val="caption"/>
    <w:basedOn w:val="1"/>
    <w:next w:val="1"/>
    <w:qFormat/>
    <w:uiPriority w:val="0"/>
    <w:rPr>
      <w:rFonts w:ascii="Cambria" w:hAnsi="Cambria" w:eastAsia="黑体"/>
      <w:sz w:val="20"/>
      <w:szCs w:val="20"/>
    </w:rPr>
  </w:style>
  <w:style w:type="paragraph" w:styleId="14">
    <w:name w:val="Document Map"/>
    <w:basedOn w:val="1"/>
    <w:link w:val="55"/>
    <w:qFormat/>
    <w:uiPriority w:val="0"/>
    <w:pPr>
      <w:shd w:val="clear" w:color="auto" w:fill="000080"/>
    </w:pPr>
    <w:rPr>
      <w:rFonts w:ascii="Times New Roman" w:hAnsi="Times New Roman"/>
      <w:szCs w:val="24"/>
      <w:shd w:val="clear" w:color="auto" w:fill="000080"/>
    </w:rPr>
  </w:style>
  <w:style w:type="paragraph" w:styleId="15">
    <w:name w:val="annotation text"/>
    <w:basedOn w:val="1"/>
    <w:link w:val="81"/>
    <w:qFormat/>
    <w:uiPriority w:val="0"/>
    <w:pPr>
      <w:jc w:val="left"/>
    </w:pPr>
    <w:rPr>
      <w:rFonts w:ascii="Times New Roman" w:hAnsi="Times New Roman"/>
    </w:rPr>
  </w:style>
  <w:style w:type="paragraph" w:styleId="16">
    <w:name w:val="Body Text"/>
    <w:basedOn w:val="1"/>
    <w:link w:val="70"/>
    <w:qFormat/>
    <w:uiPriority w:val="0"/>
    <w:pPr>
      <w:adjustRightInd w:val="0"/>
      <w:spacing w:after="60" w:line="360" w:lineRule="atLeast"/>
      <w:ind w:left="72" w:leftChars="30" w:right="30" w:rightChars="30"/>
      <w:jc w:val="center"/>
      <w:textAlignment w:val="baseline"/>
    </w:pPr>
    <w:rPr>
      <w:rFonts w:ascii="Times New Roman" w:hAnsi="Times New Roman"/>
    </w:rPr>
  </w:style>
  <w:style w:type="paragraph" w:styleId="17">
    <w:name w:val="index 4"/>
    <w:basedOn w:val="1"/>
    <w:next w:val="1"/>
    <w:qFormat/>
    <w:uiPriority w:val="0"/>
    <w:pPr>
      <w:ind w:left="600" w:leftChars="600"/>
    </w:pPr>
    <w:rPr>
      <w:rFonts w:ascii="Times New Roman" w:hAnsi="Times New Roman"/>
      <w:szCs w:val="24"/>
    </w:rPr>
  </w:style>
  <w:style w:type="paragraph" w:styleId="18">
    <w:name w:val="toc 5"/>
    <w:basedOn w:val="1"/>
    <w:next w:val="1"/>
    <w:qFormat/>
    <w:uiPriority w:val="0"/>
    <w:pPr>
      <w:tabs>
        <w:tab w:val="right" w:leader="dot" w:pos="8296"/>
      </w:tabs>
      <w:ind w:left="1050" w:leftChars="500"/>
    </w:pPr>
    <w:rPr>
      <w:rFonts w:ascii="Times New Roman" w:hAnsi="Times New Roman"/>
    </w:rPr>
  </w:style>
  <w:style w:type="paragraph" w:styleId="19">
    <w:name w:val="toc 3"/>
    <w:basedOn w:val="1"/>
    <w:next w:val="1"/>
    <w:qFormat/>
    <w:uiPriority w:val="0"/>
    <w:pPr>
      <w:ind w:left="840" w:leftChars="400"/>
    </w:pPr>
    <w:rPr>
      <w:rFonts w:ascii="Times New Roman" w:hAnsi="Times New Roman"/>
    </w:rPr>
  </w:style>
  <w:style w:type="paragraph" w:styleId="20">
    <w:name w:val="toc 8"/>
    <w:basedOn w:val="1"/>
    <w:next w:val="1"/>
    <w:qFormat/>
    <w:uiPriority w:val="0"/>
    <w:pPr>
      <w:ind w:left="2940" w:leftChars="1400"/>
    </w:pPr>
    <w:rPr>
      <w:rFonts w:ascii="Times New Roman" w:hAnsi="Times New Roman"/>
    </w:rPr>
  </w:style>
  <w:style w:type="paragraph" w:styleId="21">
    <w:name w:val="Date"/>
    <w:basedOn w:val="1"/>
    <w:next w:val="1"/>
    <w:link w:val="50"/>
    <w:qFormat/>
    <w:uiPriority w:val="0"/>
    <w:pPr>
      <w:ind w:left="100" w:leftChars="2500"/>
    </w:pPr>
    <w:rPr>
      <w:rFonts w:ascii="宋体" w:hAnsi="Times New Roman"/>
      <w:sz w:val="28"/>
    </w:rPr>
  </w:style>
  <w:style w:type="paragraph" w:styleId="22">
    <w:name w:val="Body Text Indent 2"/>
    <w:basedOn w:val="1"/>
    <w:link w:val="95"/>
    <w:qFormat/>
    <w:uiPriority w:val="0"/>
    <w:pPr>
      <w:spacing w:line="300" w:lineRule="auto"/>
      <w:ind w:left="418" w:leftChars="199"/>
    </w:pPr>
    <w:rPr>
      <w:rFonts w:ascii="Times New Roman" w:hAnsi="Times New Roman"/>
      <w:sz w:val="24"/>
      <w:szCs w:val="20"/>
    </w:rPr>
  </w:style>
  <w:style w:type="paragraph" w:styleId="23">
    <w:name w:val="Balloon Text"/>
    <w:basedOn w:val="1"/>
    <w:link w:val="69"/>
    <w:qFormat/>
    <w:uiPriority w:val="0"/>
    <w:rPr>
      <w:rFonts w:ascii="宋体" w:hAnsi="Times New Roman"/>
      <w:sz w:val="18"/>
      <w:szCs w:val="18"/>
    </w:rPr>
  </w:style>
  <w:style w:type="paragraph" w:styleId="24">
    <w:name w:val="footer"/>
    <w:basedOn w:val="1"/>
    <w:link w:val="96"/>
    <w:qFormat/>
    <w:uiPriority w:val="0"/>
    <w:pPr>
      <w:tabs>
        <w:tab w:val="center" w:pos="4153"/>
        <w:tab w:val="right" w:pos="8306"/>
      </w:tabs>
      <w:snapToGrid w:val="0"/>
      <w:jc w:val="left"/>
    </w:pPr>
    <w:rPr>
      <w:rFonts w:ascii="Times New Roman" w:hAnsi="Times New Roman"/>
      <w:sz w:val="18"/>
      <w:szCs w:val="18"/>
    </w:rPr>
  </w:style>
  <w:style w:type="paragraph" w:styleId="25">
    <w:name w:val="header"/>
    <w:basedOn w:val="1"/>
    <w:link w:val="46"/>
    <w:qFormat/>
    <w:uiPriority w:val="0"/>
    <w:pPr>
      <w:pBdr>
        <w:bottom w:val="single" w:color="auto" w:sz="6" w:space="1"/>
      </w:pBdr>
      <w:tabs>
        <w:tab w:val="center" w:pos="4153"/>
        <w:tab w:val="right" w:pos="8306"/>
      </w:tabs>
      <w:snapToGrid w:val="0"/>
      <w:jc w:val="center"/>
    </w:pPr>
    <w:rPr>
      <w:rFonts w:ascii="Times New Roman" w:hAnsi="Times New Roman"/>
      <w:sz w:val="18"/>
      <w:szCs w:val="18"/>
    </w:rPr>
  </w:style>
  <w:style w:type="paragraph" w:styleId="26">
    <w:name w:val="toc 1"/>
    <w:basedOn w:val="1"/>
    <w:next w:val="1"/>
    <w:qFormat/>
    <w:uiPriority w:val="39"/>
    <w:pPr>
      <w:tabs>
        <w:tab w:val="right" w:leader="dot" w:pos="8296"/>
      </w:tabs>
    </w:pPr>
    <w:rPr>
      <w:rFonts w:ascii="宋体" w:hAnsi="Times New Roman" w:eastAsia="楷体_GB2312" w:cs="TimesNewRomanPSMT"/>
      <w:b/>
      <w:kern w:val="0"/>
      <w:sz w:val="28"/>
      <w:szCs w:val="20"/>
    </w:rPr>
  </w:style>
  <w:style w:type="paragraph" w:styleId="27">
    <w:name w:val="toc 4"/>
    <w:basedOn w:val="1"/>
    <w:next w:val="1"/>
    <w:qFormat/>
    <w:uiPriority w:val="0"/>
    <w:pPr>
      <w:tabs>
        <w:tab w:val="left" w:pos="1890"/>
        <w:tab w:val="right" w:leader="dot" w:pos="8296"/>
      </w:tabs>
      <w:ind w:left="630" w:leftChars="300"/>
    </w:pPr>
    <w:rPr>
      <w:rFonts w:ascii="Times New Roman" w:hAnsi="Times New Roman"/>
    </w:rPr>
  </w:style>
  <w:style w:type="paragraph" w:styleId="28">
    <w:name w:val="Subtitle"/>
    <w:basedOn w:val="1"/>
    <w:next w:val="1"/>
    <w:link w:val="80"/>
    <w:qFormat/>
    <w:uiPriority w:val="0"/>
    <w:pPr>
      <w:spacing w:before="240" w:after="60" w:line="312" w:lineRule="auto"/>
      <w:jc w:val="center"/>
      <w:outlineLvl w:val="1"/>
    </w:pPr>
    <w:rPr>
      <w:rFonts w:ascii="Cambria" w:hAnsi="Cambria"/>
      <w:b/>
      <w:bCs/>
      <w:kern w:val="28"/>
      <w:sz w:val="32"/>
      <w:szCs w:val="32"/>
    </w:rPr>
  </w:style>
  <w:style w:type="paragraph" w:styleId="29">
    <w:name w:val="toc 6"/>
    <w:basedOn w:val="1"/>
    <w:next w:val="1"/>
    <w:qFormat/>
    <w:uiPriority w:val="0"/>
    <w:pPr>
      <w:ind w:left="2100" w:leftChars="1000"/>
    </w:pPr>
    <w:rPr>
      <w:rFonts w:ascii="Times New Roman" w:hAnsi="Times New Roman"/>
    </w:rPr>
  </w:style>
  <w:style w:type="paragraph" w:styleId="30">
    <w:name w:val="Body Text Indent 3"/>
    <w:basedOn w:val="1"/>
    <w:link w:val="118"/>
    <w:semiHidden/>
    <w:unhideWhenUsed/>
    <w:qFormat/>
    <w:uiPriority w:val="99"/>
    <w:pPr>
      <w:spacing w:after="120"/>
      <w:ind w:left="420" w:leftChars="200"/>
    </w:pPr>
    <w:rPr>
      <w:sz w:val="16"/>
      <w:szCs w:val="16"/>
    </w:rPr>
  </w:style>
  <w:style w:type="paragraph" w:styleId="31">
    <w:name w:val="table of figures"/>
    <w:basedOn w:val="1"/>
    <w:next w:val="1"/>
    <w:qFormat/>
    <w:uiPriority w:val="0"/>
    <w:pPr>
      <w:ind w:left="200" w:leftChars="200" w:hanging="200" w:hangingChars="200"/>
    </w:pPr>
    <w:rPr>
      <w:rFonts w:ascii="Times New Roman" w:hAnsi="Times New Roman"/>
    </w:rPr>
  </w:style>
  <w:style w:type="paragraph" w:styleId="32">
    <w:name w:val="toc 2"/>
    <w:basedOn w:val="1"/>
    <w:next w:val="1"/>
    <w:qFormat/>
    <w:uiPriority w:val="39"/>
    <w:pPr>
      <w:ind w:left="420" w:leftChars="200"/>
    </w:pPr>
    <w:rPr>
      <w:rFonts w:ascii="宋体" w:hAnsi="Times New Roman"/>
      <w:b/>
      <w:sz w:val="28"/>
      <w:szCs w:val="20"/>
    </w:rPr>
  </w:style>
  <w:style w:type="paragraph" w:styleId="33">
    <w:name w:val="toc 9"/>
    <w:basedOn w:val="1"/>
    <w:next w:val="1"/>
    <w:qFormat/>
    <w:uiPriority w:val="0"/>
    <w:pPr>
      <w:ind w:left="3360" w:leftChars="1600"/>
    </w:pPr>
    <w:rPr>
      <w:rFonts w:ascii="Times New Roman" w:hAnsi="Times New Roman"/>
    </w:rPr>
  </w:style>
  <w:style w:type="paragraph" w:styleId="34">
    <w:name w:val="Normal (Web)"/>
    <w:basedOn w:val="1"/>
    <w:qFormat/>
    <w:uiPriority w:val="0"/>
    <w:pPr>
      <w:widowControl/>
      <w:spacing w:before="100" w:beforeAutospacing="1" w:after="100" w:afterAutospacing="1" w:line="320" w:lineRule="atLeast"/>
      <w:jc w:val="left"/>
    </w:pPr>
    <w:rPr>
      <w:rFonts w:ascii="宋体" w:hAnsi="宋体"/>
      <w:kern w:val="0"/>
      <w:sz w:val="18"/>
      <w:szCs w:val="18"/>
    </w:rPr>
  </w:style>
  <w:style w:type="paragraph" w:styleId="35">
    <w:name w:val="Title"/>
    <w:basedOn w:val="1"/>
    <w:next w:val="1"/>
    <w:link w:val="78"/>
    <w:qFormat/>
    <w:uiPriority w:val="0"/>
    <w:pPr>
      <w:spacing w:before="240" w:after="60"/>
      <w:jc w:val="center"/>
      <w:outlineLvl w:val="0"/>
    </w:pPr>
    <w:rPr>
      <w:rFonts w:ascii="Cambria" w:hAnsi="Cambria"/>
      <w:b/>
      <w:bCs/>
      <w:sz w:val="32"/>
      <w:szCs w:val="32"/>
    </w:rPr>
  </w:style>
  <w:style w:type="paragraph" w:styleId="36">
    <w:name w:val="annotation subject"/>
    <w:basedOn w:val="15"/>
    <w:next w:val="15"/>
    <w:link w:val="86"/>
    <w:qFormat/>
    <w:uiPriority w:val="0"/>
    <w:rPr>
      <w:rFonts w:ascii="宋体"/>
      <w:b/>
      <w:bCs/>
      <w:sz w:val="28"/>
    </w:rPr>
  </w:style>
  <w:style w:type="table" w:styleId="38">
    <w:name w:val="Table Grid"/>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styleId="40">
    <w:name w:val="Strong"/>
    <w:qFormat/>
    <w:uiPriority w:val="0"/>
    <w:rPr>
      <w:rFonts w:ascii="Times New Roman" w:hAnsi="Times New Roman" w:eastAsia="宋体" w:cs="Times New Roman"/>
      <w:b/>
      <w:bCs/>
    </w:rPr>
  </w:style>
  <w:style w:type="character" w:styleId="41">
    <w:name w:val="page number"/>
    <w:qFormat/>
    <w:uiPriority w:val="0"/>
    <w:rPr>
      <w:rFonts w:ascii="Times New Roman" w:hAnsi="Times New Roman" w:eastAsia="宋体" w:cs="Times New Roman"/>
    </w:rPr>
  </w:style>
  <w:style w:type="character" w:styleId="42">
    <w:name w:val="FollowedHyperlink"/>
    <w:unhideWhenUsed/>
    <w:qFormat/>
    <w:uiPriority w:val="99"/>
    <w:rPr>
      <w:rFonts w:ascii="Times New Roman" w:hAnsi="Times New Roman" w:eastAsia="宋体" w:cs="Times New Roman"/>
      <w:color w:val="954F72"/>
      <w:u w:val="single"/>
    </w:rPr>
  </w:style>
  <w:style w:type="character" w:styleId="43">
    <w:name w:val="Emphasis"/>
    <w:qFormat/>
    <w:uiPriority w:val="0"/>
    <w:rPr>
      <w:rFonts w:ascii="Times New Roman" w:hAnsi="Times New Roman" w:eastAsia="宋体" w:cs="Times New Roman"/>
      <w:i/>
      <w:iCs/>
    </w:rPr>
  </w:style>
  <w:style w:type="character" w:styleId="44">
    <w:name w:val="Hyperlink"/>
    <w:qFormat/>
    <w:uiPriority w:val="99"/>
    <w:rPr>
      <w:rFonts w:ascii="Times New Roman" w:hAnsi="Times New Roman" w:eastAsia="宋体" w:cs="Times New Roman"/>
      <w:color w:val="0000FF"/>
      <w:u w:val="single"/>
    </w:rPr>
  </w:style>
  <w:style w:type="character" w:styleId="45">
    <w:name w:val="annotation reference"/>
    <w:qFormat/>
    <w:uiPriority w:val="99"/>
    <w:rPr>
      <w:rFonts w:ascii="Times New Roman" w:hAnsi="Times New Roman" w:eastAsia="宋体" w:cs="Times New Roman"/>
      <w:sz w:val="21"/>
      <w:szCs w:val="21"/>
    </w:rPr>
  </w:style>
  <w:style w:type="character" w:customStyle="1" w:styleId="46">
    <w:name w:val="页眉 Char"/>
    <w:link w:val="25"/>
    <w:qFormat/>
    <w:uiPriority w:val="0"/>
    <w:rPr>
      <w:rFonts w:ascii="Times New Roman" w:hAnsi="Times New Roman" w:eastAsia="宋体" w:cs="Times New Roman"/>
      <w:kern w:val="2"/>
      <w:sz w:val="18"/>
      <w:szCs w:val="18"/>
    </w:rPr>
  </w:style>
  <w:style w:type="character" w:customStyle="1" w:styleId="47">
    <w:name w:val="段 字符"/>
    <w:link w:val="48"/>
    <w:qFormat/>
    <w:uiPriority w:val="0"/>
    <w:rPr>
      <w:rFonts w:ascii="宋体" w:hAnsi="Times New Roman" w:eastAsia="宋体" w:cs="Times New Roman"/>
      <w:color w:val="000000"/>
      <w:sz w:val="21"/>
    </w:rPr>
  </w:style>
  <w:style w:type="paragraph" w:customStyle="1" w:styleId="48">
    <w:name w:val="段"/>
    <w:basedOn w:val="1"/>
    <w:link w:val="47"/>
    <w:qFormat/>
    <w:uiPriority w:val="0"/>
    <w:pPr>
      <w:widowControl/>
      <w:tabs>
        <w:tab w:val="center" w:pos="4201"/>
        <w:tab w:val="right" w:leader="dot" w:pos="9298"/>
      </w:tabs>
      <w:autoSpaceDE w:val="0"/>
      <w:autoSpaceDN w:val="0"/>
      <w:adjustRightInd w:val="0"/>
      <w:snapToGrid w:val="0"/>
      <w:spacing w:line="360" w:lineRule="auto"/>
      <w:ind w:firstLine="420" w:firstLineChars="200"/>
    </w:pPr>
    <w:rPr>
      <w:rFonts w:ascii="宋体" w:hAnsi="Times New Roman"/>
      <w:color w:val="000000"/>
      <w:kern w:val="0"/>
      <w:szCs w:val="20"/>
    </w:rPr>
  </w:style>
  <w:style w:type="character" w:customStyle="1" w:styleId="49">
    <w:name w:val="不明显强调1"/>
    <w:qFormat/>
    <w:uiPriority w:val="0"/>
    <w:rPr>
      <w:rFonts w:ascii="Times New Roman" w:hAnsi="Times New Roman" w:eastAsia="宋体" w:cs="Times New Roman"/>
      <w:i/>
      <w:iCs/>
      <w:color w:val="808080"/>
    </w:rPr>
  </w:style>
  <w:style w:type="character" w:customStyle="1" w:styleId="50">
    <w:name w:val="日期 Char"/>
    <w:link w:val="21"/>
    <w:qFormat/>
    <w:uiPriority w:val="0"/>
    <w:rPr>
      <w:rFonts w:ascii="宋体" w:hAnsi="Times New Roman" w:eastAsia="宋体" w:cs="Times New Roman"/>
      <w:sz w:val="28"/>
    </w:rPr>
  </w:style>
  <w:style w:type="character" w:customStyle="1" w:styleId="51">
    <w:name w:val="样式1-正文 Char"/>
    <w:link w:val="52"/>
    <w:qFormat/>
    <w:uiPriority w:val="0"/>
    <w:rPr>
      <w:rFonts w:ascii="Times New Roman" w:hAnsi="Times New Roman" w:eastAsia="仿宋_GB2312" w:cs="Times New Roman"/>
      <w:color w:val="000000"/>
      <w:sz w:val="21"/>
      <w:szCs w:val="32"/>
    </w:rPr>
  </w:style>
  <w:style w:type="paragraph" w:customStyle="1" w:styleId="52">
    <w:name w:val="样式1-正文"/>
    <w:basedOn w:val="1"/>
    <w:link w:val="51"/>
    <w:qFormat/>
    <w:uiPriority w:val="0"/>
    <w:pPr>
      <w:autoSpaceDE w:val="0"/>
      <w:autoSpaceDN w:val="0"/>
      <w:adjustRightInd w:val="0"/>
      <w:spacing w:line="360" w:lineRule="auto"/>
      <w:ind w:firstLine="600" w:firstLineChars="200"/>
      <w:jc w:val="left"/>
    </w:pPr>
    <w:rPr>
      <w:rFonts w:ascii="Times New Roman" w:hAnsi="Times New Roman" w:eastAsia="仿宋_GB2312"/>
      <w:color w:val="000000"/>
      <w:kern w:val="0"/>
      <w:szCs w:val="32"/>
    </w:rPr>
  </w:style>
  <w:style w:type="character" w:customStyle="1" w:styleId="53">
    <w:name w:val="textcontents"/>
    <w:qFormat/>
    <w:uiPriority w:val="0"/>
    <w:rPr>
      <w:rFonts w:ascii="Times New Roman" w:hAnsi="Times New Roman" w:eastAsia="宋体" w:cs="Times New Roman"/>
    </w:rPr>
  </w:style>
  <w:style w:type="character" w:customStyle="1" w:styleId="54">
    <w:name w:val="标题 2 Char"/>
    <w:link w:val="3"/>
    <w:qFormat/>
    <w:uiPriority w:val="0"/>
    <w:rPr>
      <w:rFonts w:ascii="Cambria" w:hAnsi="Cambria" w:eastAsia="宋体" w:cs="Times New Roman"/>
      <w:b/>
      <w:bCs/>
      <w:kern w:val="2"/>
      <w:sz w:val="32"/>
      <w:szCs w:val="32"/>
    </w:rPr>
  </w:style>
  <w:style w:type="character" w:customStyle="1" w:styleId="55">
    <w:name w:val="文档结构图 Char"/>
    <w:link w:val="14"/>
    <w:qFormat/>
    <w:uiPriority w:val="0"/>
    <w:rPr>
      <w:rFonts w:ascii="Times New Roman" w:hAnsi="Times New Roman" w:eastAsia="宋体" w:cs="Times New Roman"/>
      <w:szCs w:val="24"/>
      <w:shd w:val="clear" w:color="auto" w:fill="000080"/>
    </w:rPr>
  </w:style>
  <w:style w:type="character" w:customStyle="1" w:styleId="56">
    <w:name w:val="文档结构图 Char1"/>
    <w:qFormat/>
    <w:uiPriority w:val="0"/>
    <w:rPr>
      <w:rFonts w:ascii="宋体" w:hAnsi="Times New Roman" w:eastAsia="宋体" w:cs="Times New Roman"/>
      <w:kern w:val="2"/>
      <w:sz w:val="18"/>
      <w:szCs w:val="18"/>
    </w:rPr>
  </w:style>
  <w:style w:type="character" w:customStyle="1" w:styleId="57">
    <w:name w:val="标题5 Char Char"/>
    <w:link w:val="58"/>
    <w:qFormat/>
    <w:uiPriority w:val="0"/>
    <w:rPr>
      <w:rFonts w:ascii="Arial" w:hAnsi="Arial" w:eastAsia="宋体" w:cs="Times New Roman"/>
      <w:b/>
      <w:bCs/>
      <w:sz w:val="24"/>
      <w:szCs w:val="32"/>
    </w:rPr>
  </w:style>
  <w:style w:type="paragraph" w:customStyle="1" w:styleId="58">
    <w:name w:val="标题5"/>
    <w:basedOn w:val="4"/>
    <w:link w:val="57"/>
    <w:qFormat/>
    <w:uiPriority w:val="0"/>
    <w:rPr>
      <w:rFonts w:ascii="Arial" w:hAnsi="Arial"/>
      <w:b w:val="0"/>
      <w:bCs w:val="0"/>
      <w:sz w:val="24"/>
    </w:rPr>
  </w:style>
  <w:style w:type="character" w:customStyle="1" w:styleId="59">
    <w:name w:val="不明显参考1"/>
    <w:qFormat/>
    <w:uiPriority w:val="0"/>
    <w:rPr>
      <w:rFonts w:ascii="Times New Roman" w:hAnsi="Times New Roman" w:eastAsia="宋体" w:cs="Times New Roman"/>
      <w:smallCaps/>
      <w:color w:val="C0504D"/>
      <w:u w:val="single"/>
    </w:rPr>
  </w:style>
  <w:style w:type="character" w:customStyle="1" w:styleId="60">
    <w:name w:val="标题4 Char Char"/>
    <w:link w:val="61"/>
    <w:qFormat/>
    <w:uiPriority w:val="0"/>
    <w:rPr>
      <w:rFonts w:ascii="Arial" w:hAnsi="Arial" w:eastAsia="宋体" w:cs="Times New Roman"/>
      <w:b/>
      <w:bCs/>
      <w:sz w:val="24"/>
      <w:szCs w:val="32"/>
    </w:rPr>
  </w:style>
  <w:style w:type="paragraph" w:customStyle="1" w:styleId="61">
    <w:name w:val="标题4"/>
    <w:basedOn w:val="3"/>
    <w:next w:val="17"/>
    <w:link w:val="60"/>
    <w:qFormat/>
    <w:uiPriority w:val="0"/>
    <w:rPr>
      <w:rFonts w:ascii="Arial" w:hAnsi="Arial"/>
      <w:b w:val="0"/>
      <w:bCs w:val="0"/>
      <w:sz w:val="24"/>
    </w:rPr>
  </w:style>
  <w:style w:type="character" w:customStyle="1" w:styleId="62">
    <w:name w:val="明显强调1"/>
    <w:qFormat/>
    <w:uiPriority w:val="0"/>
    <w:rPr>
      <w:rFonts w:ascii="Times New Roman" w:hAnsi="Times New Roman" w:eastAsia="宋体" w:cs="Times New Roman"/>
      <w:b/>
      <w:bCs/>
      <w:i/>
      <w:iCs/>
      <w:color w:val="4F81BD"/>
    </w:rPr>
  </w:style>
  <w:style w:type="character" w:customStyle="1" w:styleId="63">
    <w:name w:val="标题 6 Char"/>
    <w:link w:val="7"/>
    <w:qFormat/>
    <w:uiPriority w:val="0"/>
    <w:rPr>
      <w:rFonts w:ascii="Cambria" w:hAnsi="Cambria" w:eastAsia="宋体" w:cs="Times New Roman"/>
      <w:b/>
      <w:bCs/>
      <w:kern w:val="2"/>
      <w:sz w:val="24"/>
      <w:szCs w:val="24"/>
    </w:rPr>
  </w:style>
  <w:style w:type="character" w:customStyle="1" w:styleId="64">
    <w:name w:val="标题 4 Char"/>
    <w:link w:val="5"/>
    <w:qFormat/>
    <w:uiPriority w:val="0"/>
    <w:rPr>
      <w:rFonts w:ascii="Cambria" w:hAnsi="Cambria" w:eastAsia="宋体" w:cs="Times New Roman"/>
      <w:b/>
      <w:bCs/>
      <w:kern w:val="2"/>
      <w:sz w:val="28"/>
      <w:szCs w:val="28"/>
    </w:rPr>
  </w:style>
  <w:style w:type="character" w:customStyle="1" w:styleId="65">
    <w:name w:val="引用 Char"/>
    <w:link w:val="66"/>
    <w:qFormat/>
    <w:uiPriority w:val="0"/>
    <w:rPr>
      <w:rFonts w:ascii="Times New Roman" w:hAnsi="Times New Roman" w:eastAsia="宋体" w:cs="Times New Roman"/>
      <w:i/>
      <w:iCs/>
      <w:color w:val="000000"/>
      <w:kern w:val="2"/>
      <w:sz w:val="21"/>
      <w:szCs w:val="22"/>
    </w:rPr>
  </w:style>
  <w:style w:type="paragraph" w:styleId="66">
    <w:name w:val="Quote"/>
    <w:basedOn w:val="1"/>
    <w:next w:val="1"/>
    <w:link w:val="65"/>
    <w:qFormat/>
    <w:uiPriority w:val="0"/>
    <w:rPr>
      <w:rFonts w:ascii="Times New Roman" w:hAnsi="Times New Roman"/>
      <w:i/>
      <w:iCs/>
      <w:color w:val="000000"/>
    </w:rPr>
  </w:style>
  <w:style w:type="character" w:customStyle="1" w:styleId="67">
    <w:name w:val="样式2-标题1 Char"/>
    <w:link w:val="68"/>
    <w:qFormat/>
    <w:uiPriority w:val="0"/>
    <w:rPr>
      <w:rFonts w:ascii="华文中宋" w:hAnsi="华文中宋" w:eastAsia="华文中宋" w:cs="Times New Roman"/>
      <w:b/>
      <w:bCs/>
      <w:kern w:val="2"/>
      <w:sz w:val="36"/>
      <w:szCs w:val="44"/>
    </w:rPr>
  </w:style>
  <w:style w:type="paragraph" w:customStyle="1" w:styleId="68">
    <w:name w:val="样式2-标题1"/>
    <w:basedOn w:val="4"/>
    <w:link w:val="67"/>
    <w:qFormat/>
    <w:uiPriority w:val="0"/>
    <w:pPr>
      <w:jc w:val="center"/>
      <w:outlineLvl w:val="0"/>
    </w:pPr>
    <w:rPr>
      <w:rFonts w:ascii="华文中宋" w:hAnsi="华文中宋" w:eastAsia="华文中宋"/>
      <w:sz w:val="36"/>
      <w:szCs w:val="44"/>
    </w:rPr>
  </w:style>
  <w:style w:type="character" w:customStyle="1" w:styleId="69">
    <w:name w:val="批注框文本 Char"/>
    <w:link w:val="23"/>
    <w:qFormat/>
    <w:uiPriority w:val="0"/>
    <w:rPr>
      <w:rFonts w:ascii="宋体" w:hAnsi="Times New Roman" w:eastAsia="宋体" w:cs="Times New Roman"/>
      <w:sz w:val="18"/>
      <w:szCs w:val="18"/>
    </w:rPr>
  </w:style>
  <w:style w:type="character" w:customStyle="1" w:styleId="70">
    <w:name w:val="正文文本 Char"/>
    <w:link w:val="16"/>
    <w:qFormat/>
    <w:uiPriority w:val="0"/>
    <w:rPr>
      <w:rFonts w:ascii="Times New Roman" w:hAnsi="Times New Roman" w:eastAsia="宋体" w:cs="Times New Roman"/>
    </w:rPr>
  </w:style>
  <w:style w:type="character" w:customStyle="1" w:styleId="71">
    <w:name w:val="明显参考1"/>
    <w:qFormat/>
    <w:uiPriority w:val="0"/>
    <w:rPr>
      <w:rFonts w:ascii="Times New Roman" w:hAnsi="Times New Roman" w:eastAsia="宋体" w:cs="Times New Roman"/>
      <w:b/>
      <w:bCs/>
      <w:smallCaps/>
      <w:color w:val="C0504D"/>
      <w:spacing w:val="5"/>
      <w:u w:val="single"/>
    </w:rPr>
  </w:style>
  <w:style w:type="character" w:customStyle="1" w:styleId="72">
    <w:name w:val="样式3-标题2 Char"/>
    <w:link w:val="73"/>
    <w:qFormat/>
    <w:uiPriority w:val="0"/>
    <w:rPr>
      <w:rFonts w:ascii="Times New Roman" w:hAnsi="Times New Roman" w:eastAsia="黑体" w:cs="Times New Roman"/>
      <w:bCs/>
      <w:color w:val="000000"/>
      <w:kern w:val="2"/>
      <w:sz w:val="30"/>
      <w:szCs w:val="32"/>
    </w:rPr>
  </w:style>
  <w:style w:type="paragraph" w:customStyle="1" w:styleId="73">
    <w:name w:val="样式3-标题2"/>
    <w:basedOn w:val="5"/>
    <w:link w:val="72"/>
    <w:qFormat/>
    <w:uiPriority w:val="0"/>
    <w:pPr>
      <w:spacing w:before="120" w:after="120" w:line="360" w:lineRule="auto"/>
      <w:outlineLvl w:val="1"/>
    </w:pPr>
    <w:rPr>
      <w:rFonts w:ascii="Times New Roman" w:hAnsi="Times New Roman" w:eastAsia="黑体"/>
      <w:b w:val="0"/>
      <w:color w:val="000000"/>
      <w:sz w:val="30"/>
      <w:szCs w:val="32"/>
    </w:rPr>
  </w:style>
  <w:style w:type="character" w:customStyle="1" w:styleId="74">
    <w:name w:val="样式5-标题4 Char"/>
    <w:link w:val="75"/>
    <w:qFormat/>
    <w:uiPriority w:val="0"/>
    <w:rPr>
      <w:rFonts w:ascii="Times New Roman" w:hAnsi="Times New Roman" w:eastAsia="仿宋_GB2312" w:cs="Times New Roman"/>
      <w:b/>
      <w:color w:val="000000"/>
      <w:sz w:val="21"/>
      <w:szCs w:val="32"/>
    </w:rPr>
  </w:style>
  <w:style w:type="paragraph" w:customStyle="1" w:styleId="75">
    <w:name w:val="样式5-标题4"/>
    <w:basedOn w:val="52"/>
    <w:link w:val="74"/>
    <w:qFormat/>
    <w:uiPriority w:val="0"/>
    <w:pPr>
      <w:ind w:firstLine="200"/>
      <w:outlineLvl w:val="3"/>
    </w:pPr>
    <w:rPr>
      <w:rFonts w:eastAsia="宋体"/>
      <w:b/>
    </w:rPr>
  </w:style>
  <w:style w:type="character" w:customStyle="1" w:styleId="76">
    <w:name w:val="样式4-标题3 Char"/>
    <w:link w:val="77"/>
    <w:qFormat/>
    <w:uiPriority w:val="0"/>
    <w:rPr>
      <w:rFonts w:ascii="Times New Roman" w:hAnsi="Times New Roman" w:eastAsia="黑体" w:cs="Times New Roman"/>
      <w:bCs/>
      <w:color w:val="000000"/>
      <w:kern w:val="2"/>
      <w:sz w:val="24"/>
      <w:szCs w:val="32"/>
    </w:rPr>
  </w:style>
  <w:style w:type="paragraph" w:customStyle="1" w:styleId="77">
    <w:name w:val="样式4-标题3"/>
    <w:basedOn w:val="6"/>
    <w:link w:val="76"/>
    <w:qFormat/>
    <w:uiPriority w:val="0"/>
    <w:pPr>
      <w:spacing w:before="120" w:after="120" w:line="360" w:lineRule="auto"/>
      <w:ind w:firstLine="200" w:firstLineChars="200"/>
      <w:outlineLvl w:val="2"/>
    </w:pPr>
    <w:rPr>
      <w:rFonts w:eastAsia="黑体"/>
      <w:b w:val="0"/>
      <w:color w:val="000000"/>
      <w:sz w:val="24"/>
      <w:szCs w:val="32"/>
    </w:rPr>
  </w:style>
  <w:style w:type="character" w:customStyle="1" w:styleId="78">
    <w:name w:val="标题 Char"/>
    <w:link w:val="35"/>
    <w:qFormat/>
    <w:uiPriority w:val="0"/>
    <w:rPr>
      <w:rFonts w:ascii="Cambria" w:hAnsi="Cambria" w:eastAsia="宋体" w:cs="Times New Roman"/>
      <w:b/>
      <w:bCs/>
      <w:kern w:val="2"/>
      <w:sz w:val="32"/>
      <w:szCs w:val="32"/>
    </w:rPr>
  </w:style>
  <w:style w:type="character" w:customStyle="1" w:styleId="79">
    <w:name w:val="表格文字"/>
    <w:qFormat/>
    <w:uiPriority w:val="0"/>
    <w:rPr>
      <w:rFonts w:ascii="宋体" w:hAnsi="Times New Roman" w:eastAsia="宋体" w:cs="Times New Roman"/>
      <w:sz w:val="18"/>
    </w:rPr>
  </w:style>
  <w:style w:type="character" w:customStyle="1" w:styleId="80">
    <w:name w:val="副标题 Char"/>
    <w:link w:val="28"/>
    <w:qFormat/>
    <w:uiPriority w:val="0"/>
    <w:rPr>
      <w:rFonts w:ascii="Cambria" w:hAnsi="Cambria" w:eastAsia="宋体" w:cs="Times New Roman"/>
      <w:b/>
      <w:bCs/>
      <w:kern w:val="28"/>
      <w:sz w:val="32"/>
      <w:szCs w:val="32"/>
    </w:rPr>
  </w:style>
  <w:style w:type="character" w:customStyle="1" w:styleId="81">
    <w:name w:val="批注文字 Char"/>
    <w:link w:val="15"/>
    <w:qFormat/>
    <w:uiPriority w:val="0"/>
    <w:rPr>
      <w:rFonts w:ascii="Times New Roman" w:hAnsi="Times New Roman" w:eastAsia="宋体" w:cs="Times New Roman"/>
      <w:kern w:val="2"/>
      <w:sz w:val="21"/>
      <w:szCs w:val="22"/>
    </w:rPr>
  </w:style>
  <w:style w:type="character" w:customStyle="1" w:styleId="82">
    <w:name w:val="正文哈哈 Char"/>
    <w:link w:val="83"/>
    <w:qFormat/>
    <w:uiPriority w:val="0"/>
    <w:rPr>
      <w:rFonts w:ascii="宋体" w:hAnsi="宋体" w:eastAsia="楷体_GB2312" w:cs="Times New Roman"/>
      <w:bCs/>
      <w:sz w:val="21"/>
      <w:szCs w:val="28"/>
    </w:rPr>
  </w:style>
  <w:style w:type="paragraph" w:customStyle="1" w:styleId="83">
    <w:name w:val="正文哈哈"/>
    <w:basedOn w:val="1"/>
    <w:link w:val="82"/>
    <w:qFormat/>
    <w:uiPriority w:val="0"/>
    <w:pPr>
      <w:numPr>
        <w:ilvl w:val="0"/>
        <w:numId w:val="1"/>
      </w:numPr>
      <w:adjustRightInd w:val="0"/>
      <w:snapToGrid w:val="0"/>
      <w:spacing w:line="360" w:lineRule="auto"/>
      <w:jc w:val="left"/>
    </w:pPr>
    <w:rPr>
      <w:rFonts w:ascii="宋体" w:hAnsi="宋体" w:eastAsia="楷体_GB2312"/>
      <w:bCs/>
      <w:kern w:val="0"/>
      <w:szCs w:val="28"/>
    </w:rPr>
  </w:style>
  <w:style w:type="character" w:customStyle="1" w:styleId="84">
    <w:name w:val="标题 5 Char"/>
    <w:link w:val="6"/>
    <w:qFormat/>
    <w:uiPriority w:val="0"/>
    <w:rPr>
      <w:rFonts w:ascii="Times New Roman" w:hAnsi="Times New Roman" w:eastAsia="宋体" w:cs="Times New Roman"/>
      <w:b/>
      <w:bCs/>
      <w:kern w:val="2"/>
      <w:sz w:val="28"/>
      <w:szCs w:val="28"/>
    </w:rPr>
  </w:style>
  <w:style w:type="character" w:customStyle="1" w:styleId="85">
    <w:name w:val="书籍标题1"/>
    <w:qFormat/>
    <w:uiPriority w:val="0"/>
    <w:rPr>
      <w:rFonts w:ascii="Times New Roman" w:hAnsi="Times New Roman" w:eastAsia="宋体" w:cs="Times New Roman"/>
      <w:b/>
      <w:bCs/>
      <w:smallCaps/>
      <w:spacing w:val="5"/>
    </w:rPr>
  </w:style>
  <w:style w:type="character" w:customStyle="1" w:styleId="86">
    <w:name w:val="批注主题 Char"/>
    <w:link w:val="36"/>
    <w:qFormat/>
    <w:uiPriority w:val="0"/>
    <w:rPr>
      <w:rFonts w:ascii="宋体" w:hAnsi="Times New Roman" w:eastAsia="宋体" w:cs="Times New Roman"/>
      <w:b/>
      <w:bCs/>
      <w:sz w:val="28"/>
    </w:rPr>
  </w:style>
  <w:style w:type="character" w:customStyle="1" w:styleId="87">
    <w:name w:val="标题 9 Char"/>
    <w:link w:val="10"/>
    <w:qFormat/>
    <w:uiPriority w:val="0"/>
    <w:rPr>
      <w:rFonts w:ascii="Cambria" w:hAnsi="Cambria" w:eastAsia="宋体" w:cs="Times New Roman"/>
      <w:kern w:val="2"/>
      <w:sz w:val="21"/>
      <w:szCs w:val="21"/>
    </w:rPr>
  </w:style>
  <w:style w:type="character" w:customStyle="1" w:styleId="88">
    <w:name w:val="二级标题 Char"/>
    <w:link w:val="89"/>
    <w:qFormat/>
    <w:uiPriority w:val="0"/>
    <w:rPr>
      <w:rFonts w:ascii="楷体" w:hAnsi="楷体" w:eastAsia="楷体" w:cs="Times New Roman"/>
      <w:b/>
      <w:bCs/>
      <w:kern w:val="2"/>
      <w:sz w:val="24"/>
      <w:szCs w:val="24"/>
    </w:rPr>
  </w:style>
  <w:style w:type="paragraph" w:customStyle="1" w:styleId="89">
    <w:name w:val="二级标题"/>
    <w:basedOn w:val="4"/>
    <w:link w:val="88"/>
    <w:qFormat/>
    <w:uiPriority w:val="0"/>
    <w:pPr>
      <w:adjustRightInd w:val="0"/>
      <w:snapToGrid w:val="0"/>
      <w:spacing w:before="0" w:after="0" w:line="360" w:lineRule="auto"/>
      <w:jc w:val="left"/>
    </w:pPr>
    <w:rPr>
      <w:rFonts w:ascii="楷体" w:hAnsi="楷体" w:eastAsia="楷体"/>
      <w:sz w:val="24"/>
      <w:szCs w:val="24"/>
    </w:rPr>
  </w:style>
  <w:style w:type="character" w:customStyle="1" w:styleId="90">
    <w:name w:val="批注文字 Char Char"/>
    <w:qFormat/>
    <w:uiPriority w:val="0"/>
    <w:rPr>
      <w:rFonts w:ascii="宋体" w:hAnsi="Times New Roman" w:eastAsia="宋体" w:cs="Times New Roman"/>
      <w:sz w:val="28"/>
      <w:szCs w:val="20"/>
    </w:rPr>
  </w:style>
  <w:style w:type="character" w:customStyle="1" w:styleId="91">
    <w:name w:val="正文文本 Char1"/>
    <w:qFormat/>
    <w:uiPriority w:val="0"/>
    <w:rPr>
      <w:rFonts w:ascii="Times New Roman" w:hAnsi="Times New Roman" w:eastAsia="宋体" w:cs="Times New Roman"/>
      <w:kern w:val="2"/>
      <w:sz w:val="21"/>
      <w:szCs w:val="22"/>
    </w:rPr>
  </w:style>
  <w:style w:type="character" w:customStyle="1" w:styleId="92">
    <w:name w:val="标题 7 Char"/>
    <w:link w:val="8"/>
    <w:qFormat/>
    <w:uiPriority w:val="0"/>
    <w:rPr>
      <w:rFonts w:ascii="Times New Roman" w:hAnsi="Times New Roman" w:eastAsia="宋体" w:cs="Times New Roman"/>
      <w:b/>
      <w:bCs/>
      <w:kern w:val="2"/>
      <w:sz w:val="24"/>
      <w:szCs w:val="24"/>
    </w:rPr>
  </w:style>
  <w:style w:type="character" w:customStyle="1" w:styleId="93">
    <w:name w:val="批注框文本 Char1"/>
    <w:qFormat/>
    <w:uiPriority w:val="0"/>
    <w:rPr>
      <w:rFonts w:ascii="Times New Roman" w:hAnsi="Times New Roman" w:eastAsia="宋体" w:cs="Times New Roman"/>
      <w:kern w:val="2"/>
      <w:sz w:val="18"/>
      <w:szCs w:val="18"/>
    </w:rPr>
  </w:style>
  <w:style w:type="character" w:customStyle="1" w:styleId="94">
    <w:name w:val="标题 8 Char"/>
    <w:link w:val="9"/>
    <w:qFormat/>
    <w:uiPriority w:val="0"/>
    <w:rPr>
      <w:rFonts w:ascii="Cambria" w:hAnsi="Cambria" w:eastAsia="宋体" w:cs="Times New Roman"/>
      <w:kern w:val="2"/>
      <w:sz w:val="24"/>
      <w:szCs w:val="24"/>
    </w:rPr>
  </w:style>
  <w:style w:type="character" w:customStyle="1" w:styleId="95">
    <w:name w:val="正文文本缩进 2 Char"/>
    <w:link w:val="22"/>
    <w:qFormat/>
    <w:uiPriority w:val="0"/>
    <w:rPr>
      <w:rFonts w:ascii="Times New Roman" w:hAnsi="Times New Roman" w:eastAsia="宋体" w:cs="Times New Roman"/>
      <w:kern w:val="2"/>
      <w:sz w:val="24"/>
    </w:rPr>
  </w:style>
  <w:style w:type="character" w:customStyle="1" w:styleId="96">
    <w:name w:val="页脚 Char"/>
    <w:link w:val="24"/>
    <w:qFormat/>
    <w:uiPriority w:val="99"/>
    <w:rPr>
      <w:rFonts w:ascii="Times New Roman" w:hAnsi="Times New Roman" w:eastAsia="宋体" w:cs="Times New Roman"/>
      <w:kern w:val="2"/>
      <w:sz w:val="18"/>
      <w:szCs w:val="18"/>
    </w:rPr>
  </w:style>
  <w:style w:type="character" w:customStyle="1" w:styleId="97">
    <w:name w:val="日期 Char1"/>
    <w:qFormat/>
    <w:uiPriority w:val="0"/>
    <w:rPr>
      <w:rFonts w:ascii="Times New Roman" w:hAnsi="Times New Roman" w:eastAsia="宋体" w:cs="Times New Roman"/>
      <w:kern w:val="2"/>
      <w:sz w:val="21"/>
      <w:szCs w:val="22"/>
    </w:rPr>
  </w:style>
  <w:style w:type="character" w:customStyle="1" w:styleId="98">
    <w:name w:val="标题 3 Char"/>
    <w:link w:val="4"/>
    <w:qFormat/>
    <w:uiPriority w:val="0"/>
    <w:rPr>
      <w:rFonts w:ascii="Times New Roman" w:hAnsi="Times New Roman" w:eastAsia="宋体" w:cs="Times New Roman"/>
      <w:b/>
      <w:bCs/>
      <w:kern w:val="2"/>
      <w:sz w:val="32"/>
      <w:szCs w:val="32"/>
    </w:rPr>
  </w:style>
  <w:style w:type="character" w:customStyle="1" w:styleId="99">
    <w:name w:val="明显引用 Char"/>
    <w:link w:val="100"/>
    <w:qFormat/>
    <w:uiPriority w:val="0"/>
    <w:rPr>
      <w:rFonts w:ascii="Times New Roman" w:hAnsi="Times New Roman" w:eastAsia="宋体" w:cs="Times New Roman"/>
      <w:b/>
      <w:bCs/>
      <w:i/>
      <w:iCs/>
      <w:color w:val="4F81BD"/>
      <w:kern w:val="2"/>
      <w:sz w:val="21"/>
      <w:szCs w:val="22"/>
    </w:rPr>
  </w:style>
  <w:style w:type="paragraph" w:styleId="100">
    <w:name w:val="Intense Quote"/>
    <w:basedOn w:val="1"/>
    <w:next w:val="1"/>
    <w:link w:val="99"/>
    <w:qFormat/>
    <w:uiPriority w:val="0"/>
    <w:pPr>
      <w:pBdr>
        <w:bottom w:val="single" w:color="4F81BD" w:sz="4" w:space="4"/>
      </w:pBdr>
      <w:spacing w:before="200" w:after="280"/>
      <w:ind w:left="936" w:right="936"/>
    </w:pPr>
    <w:rPr>
      <w:rFonts w:ascii="Times New Roman" w:hAnsi="Times New Roman"/>
      <w:b/>
      <w:bCs/>
      <w:i/>
      <w:iCs/>
      <w:color w:val="4F81BD"/>
    </w:rPr>
  </w:style>
  <w:style w:type="character" w:customStyle="1" w:styleId="101">
    <w:name w:val="批注主题 Char1"/>
    <w:qFormat/>
    <w:uiPriority w:val="0"/>
    <w:rPr>
      <w:rFonts w:ascii="Times New Roman" w:hAnsi="Times New Roman" w:eastAsia="宋体" w:cs="Times New Roman"/>
      <w:b/>
      <w:bCs/>
      <w:kern w:val="2"/>
      <w:sz w:val="21"/>
      <w:szCs w:val="22"/>
    </w:rPr>
  </w:style>
  <w:style w:type="character" w:customStyle="1" w:styleId="102">
    <w:name w:val="标题 1 Char"/>
    <w:link w:val="2"/>
    <w:qFormat/>
    <w:uiPriority w:val="0"/>
    <w:rPr>
      <w:rFonts w:ascii="Times New Roman" w:hAnsi="Times New Roman" w:eastAsia="宋体" w:cs="Times New Roman"/>
      <w:b/>
      <w:bCs/>
      <w:kern w:val="44"/>
      <w:sz w:val="44"/>
      <w:szCs w:val="44"/>
    </w:rPr>
  </w:style>
  <w:style w:type="paragraph" w:customStyle="1" w:styleId="103">
    <w:name w:val="样式 标题 3 + (中文) 黑体 小四 非加粗 段前: 7.8 磅 段后: 0 磅 行距: 固定值 20 磅"/>
    <w:basedOn w:val="4"/>
    <w:qFormat/>
    <w:uiPriority w:val="0"/>
    <w:pPr>
      <w:spacing w:before="0" w:after="0" w:line="400" w:lineRule="exact"/>
    </w:pPr>
    <w:rPr>
      <w:rFonts w:eastAsia="黑体" w:cs="宋体"/>
      <w:b w:val="0"/>
      <w:bCs w:val="0"/>
      <w:sz w:val="24"/>
      <w:szCs w:val="20"/>
    </w:rPr>
  </w:style>
  <w:style w:type="paragraph" w:customStyle="1" w:styleId="104">
    <w:name w:val="列出段落12"/>
    <w:basedOn w:val="1"/>
    <w:qFormat/>
    <w:uiPriority w:val="0"/>
    <w:pPr>
      <w:ind w:firstLine="420" w:firstLineChars="200"/>
    </w:pPr>
    <w:rPr>
      <w:rFonts w:ascii="Times New Roman" w:hAnsi="Times New Roman"/>
    </w:rPr>
  </w:style>
  <w:style w:type="paragraph" w:customStyle="1" w:styleId="105">
    <w:name w:val="智慧工地--【条文说明】"/>
    <w:basedOn w:val="1"/>
    <w:next w:val="1"/>
    <w:qFormat/>
    <w:uiPriority w:val="0"/>
    <w:pPr>
      <w:spacing w:line="360" w:lineRule="auto"/>
    </w:pPr>
    <w:rPr>
      <w:rFonts w:ascii="Times New Roman" w:hAnsi="Times New Roman"/>
      <w:i/>
      <w:szCs w:val="24"/>
    </w:rPr>
  </w:style>
  <w:style w:type="paragraph" w:customStyle="1" w:styleId="106">
    <w:name w:val="1"/>
    <w:basedOn w:val="1"/>
    <w:next w:val="107"/>
    <w:qFormat/>
    <w:uiPriority w:val="0"/>
    <w:pPr>
      <w:spacing w:line="360" w:lineRule="auto"/>
      <w:ind w:firstLine="420" w:firstLineChars="200"/>
    </w:pPr>
    <w:rPr>
      <w:rFonts w:ascii="Times New Roman" w:hAnsi="Times New Roman"/>
      <w:szCs w:val="24"/>
    </w:rPr>
  </w:style>
  <w:style w:type="paragraph" w:styleId="107">
    <w:name w:val="List Paragraph"/>
    <w:basedOn w:val="1"/>
    <w:qFormat/>
    <w:uiPriority w:val="99"/>
    <w:pPr>
      <w:ind w:firstLine="420" w:firstLineChars="200"/>
    </w:pPr>
    <w:rPr>
      <w:rFonts w:ascii="Times New Roman" w:hAnsi="Times New Roman"/>
    </w:rPr>
  </w:style>
  <w:style w:type="paragraph" w:customStyle="1" w:styleId="108">
    <w:name w:val="空半行"/>
    <w:basedOn w:val="1"/>
    <w:qFormat/>
    <w:uiPriority w:val="0"/>
    <w:pPr>
      <w:adjustRightInd w:val="0"/>
      <w:spacing w:line="120" w:lineRule="exact"/>
      <w:textAlignment w:val="baseline"/>
    </w:pPr>
    <w:rPr>
      <w:rFonts w:ascii="Times New Roman" w:hAnsi="Times New Roman" w:eastAsia="仿宋_GB2312"/>
      <w:color w:val="FFFFFF"/>
      <w:kern w:val="0"/>
      <w:sz w:val="30"/>
      <w:szCs w:val="20"/>
    </w:rPr>
  </w:style>
  <w:style w:type="paragraph" w:customStyle="1" w:styleId="109">
    <w:name w:val="修订1"/>
    <w:qFormat/>
    <w:uiPriority w:val="0"/>
    <w:rPr>
      <w:rFonts w:ascii="Calibri" w:hAnsi="Calibri" w:eastAsia="宋体" w:cs="Times New Roman"/>
      <w:kern w:val="2"/>
      <w:sz w:val="21"/>
      <w:szCs w:val="24"/>
      <w:lang w:val="en-US" w:eastAsia="zh-CN" w:bidi="ar-SA"/>
    </w:rPr>
  </w:style>
  <w:style w:type="paragraph" w:customStyle="1" w:styleId="110">
    <w:name w:val="TOC 标题1"/>
    <w:basedOn w:val="2"/>
    <w:next w:val="1"/>
    <w:qFormat/>
    <w:uiPriority w:val="0"/>
    <w:pPr>
      <w:outlineLvl w:val="9"/>
    </w:pPr>
  </w:style>
  <w:style w:type="paragraph" w:customStyle="1" w:styleId="111">
    <w:name w:val="样式 标题 2 + Times New Roman 四号 非加粗 段前: 5 磅 段后: 0 磅 行距: 固定值 20..."/>
    <w:basedOn w:val="3"/>
    <w:qFormat/>
    <w:uiPriority w:val="0"/>
    <w:pPr>
      <w:spacing w:before="100" w:after="0" w:line="400" w:lineRule="exact"/>
    </w:pPr>
    <w:rPr>
      <w:rFonts w:ascii="Times New Roman" w:hAnsi="Times New Roman" w:eastAsia="黑体" w:cs="宋体"/>
      <w:b w:val="0"/>
      <w:bCs w:val="0"/>
      <w:kern w:val="0"/>
      <w:sz w:val="28"/>
      <w:szCs w:val="20"/>
    </w:rPr>
  </w:style>
  <w:style w:type="paragraph" w:styleId="112">
    <w:name w:val="No Spacing"/>
    <w:qFormat/>
    <w:uiPriority w:val="0"/>
    <w:pPr>
      <w:widowControl w:val="0"/>
      <w:jc w:val="both"/>
    </w:pPr>
    <w:rPr>
      <w:rFonts w:ascii="Calibri" w:hAnsi="Calibri" w:eastAsia="宋体" w:cs="Times New Roman"/>
      <w:kern w:val="2"/>
      <w:sz w:val="21"/>
      <w:szCs w:val="22"/>
      <w:lang w:val="en-US" w:eastAsia="zh-CN" w:bidi="ar-SA"/>
    </w:rPr>
  </w:style>
  <w:style w:type="paragraph" w:customStyle="1" w:styleId="113">
    <w:name w:val="Blockquote"/>
    <w:basedOn w:val="1"/>
    <w:qFormat/>
    <w:uiPriority w:val="0"/>
    <w:pPr>
      <w:autoSpaceDE w:val="0"/>
      <w:autoSpaceDN w:val="0"/>
      <w:adjustRightInd w:val="0"/>
      <w:spacing w:before="100" w:after="100"/>
      <w:ind w:left="360" w:right="360"/>
      <w:jc w:val="left"/>
    </w:pPr>
    <w:rPr>
      <w:kern w:val="0"/>
      <w:sz w:val="24"/>
      <w:szCs w:val="20"/>
    </w:rPr>
  </w:style>
  <w:style w:type="paragraph" w:customStyle="1" w:styleId="114">
    <w:name w:val="居中 ctrl+m"/>
    <w:basedOn w:val="1"/>
    <w:qFormat/>
    <w:uiPriority w:val="0"/>
    <w:pPr>
      <w:widowControl/>
      <w:adjustRightInd w:val="0"/>
      <w:snapToGrid w:val="0"/>
      <w:spacing w:line="360" w:lineRule="auto"/>
      <w:jc w:val="center"/>
    </w:pPr>
    <w:rPr>
      <w:rFonts w:ascii="宋体" w:cs="宋体"/>
      <w:szCs w:val="20"/>
    </w:rPr>
  </w:style>
  <w:style w:type="paragraph" w:customStyle="1" w:styleId="115">
    <w:name w:val="flNote"/>
    <w:basedOn w:val="1"/>
    <w:qFormat/>
    <w:uiPriority w:val="0"/>
    <w:pPr>
      <w:adjustRightInd w:val="0"/>
      <w:spacing w:before="320" w:after="160" w:line="360" w:lineRule="atLeast"/>
      <w:jc w:val="center"/>
      <w:textAlignment w:val="baseline"/>
    </w:pPr>
    <w:rPr>
      <w:rFonts w:ascii="Arial" w:hAnsi="Times New Roman" w:eastAsia="黑体"/>
      <w:kern w:val="0"/>
      <w:sz w:val="30"/>
      <w:szCs w:val="20"/>
    </w:rPr>
  </w:style>
  <w:style w:type="paragraph" w:customStyle="1" w:styleId="116">
    <w:name w:val="样式 正文缩进正文（首行缩进两字）正文（首行缩进两字） Char Char2正文（首行缩进两字） Char Char Ch..."/>
    <w:basedOn w:val="12"/>
    <w:qFormat/>
    <w:uiPriority w:val="0"/>
    <w:pPr>
      <w:snapToGrid w:val="0"/>
      <w:spacing w:line="480" w:lineRule="auto"/>
      <w:ind w:firstLine="437"/>
    </w:pPr>
    <w:rPr>
      <w:rFonts w:ascii="宋体" w:hAnsi="宋体"/>
    </w:rPr>
  </w:style>
  <w:style w:type="table" w:customStyle="1" w:styleId="117">
    <w:name w:val="网格型1"/>
    <w:basedOn w:val="37"/>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118">
    <w:name w:val="正文文本缩进 3 Char"/>
    <w:basedOn w:val="39"/>
    <w:link w:val="30"/>
    <w:semiHidden/>
    <w:qFormat/>
    <w:uiPriority w:val="99"/>
    <w:rPr>
      <w:kern w:val="2"/>
      <w:sz w:val="16"/>
      <w:szCs w:val="16"/>
    </w:rPr>
  </w:style>
  <w:style w:type="paragraph" w:customStyle="1" w:styleId="119">
    <w:name w:val="font5"/>
    <w:basedOn w:val="1"/>
    <w:qFormat/>
    <w:uiPriority w:val="0"/>
    <w:pPr>
      <w:widowControl/>
      <w:spacing w:before="100" w:beforeAutospacing="1" w:after="100" w:afterAutospacing="1"/>
      <w:jc w:val="left"/>
    </w:pPr>
    <w:rPr>
      <w:rFonts w:ascii="宋体" w:hAnsi="宋体" w:cs="宋体"/>
      <w:b/>
      <w:bCs/>
      <w:kern w:val="0"/>
      <w:sz w:val="22"/>
    </w:rPr>
  </w:style>
  <w:style w:type="paragraph" w:customStyle="1" w:styleId="120">
    <w:name w:val="font6"/>
    <w:basedOn w:val="1"/>
    <w:qFormat/>
    <w:uiPriority w:val="0"/>
    <w:pPr>
      <w:widowControl/>
      <w:spacing w:before="100" w:beforeAutospacing="1" w:after="100" w:afterAutospacing="1"/>
      <w:jc w:val="left"/>
    </w:pPr>
    <w:rPr>
      <w:rFonts w:ascii="宋体" w:hAnsi="宋体" w:cs="宋体"/>
      <w:b/>
      <w:bCs/>
      <w:color w:val="FF0000"/>
      <w:kern w:val="0"/>
      <w:sz w:val="22"/>
    </w:rPr>
  </w:style>
  <w:style w:type="paragraph" w:customStyle="1" w:styleId="121">
    <w:name w:val="xl67"/>
    <w:basedOn w:val="1"/>
    <w:qFormat/>
    <w:uiPriority w:val="0"/>
    <w:pPr>
      <w:widowControl/>
      <w:spacing w:before="100" w:beforeAutospacing="1" w:after="100" w:afterAutospacing="1"/>
      <w:jc w:val="left"/>
    </w:pPr>
    <w:rPr>
      <w:rFonts w:ascii="宋体" w:hAnsi="宋体" w:cs="宋体"/>
      <w:color w:val="FF0000"/>
      <w:kern w:val="0"/>
      <w:sz w:val="24"/>
      <w:szCs w:val="24"/>
    </w:rPr>
  </w:style>
  <w:style w:type="paragraph" w:customStyle="1" w:styleId="122">
    <w:name w:val="xl68"/>
    <w:basedOn w:val="1"/>
    <w:qFormat/>
    <w:uiPriority w:val="0"/>
    <w:pPr>
      <w:widowControl/>
      <w:spacing w:before="100" w:beforeAutospacing="1" w:after="100" w:afterAutospacing="1"/>
      <w:jc w:val="left"/>
    </w:pPr>
    <w:rPr>
      <w:rFonts w:ascii="宋体" w:hAnsi="宋体" w:cs="宋体"/>
      <w:kern w:val="0"/>
      <w:sz w:val="24"/>
      <w:szCs w:val="24"/>
    </w:rPr>
  </w:style>
  <w:style w:type="paragraph" w:customStyle="1" w:styleId="12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szCs w:val="24"/>
    </w:rPr>
  </w:style>
  <w:style w:type="paragraph" w:customStyle="1" w:styleId="12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125">
    <w:name w:val="xl7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26">
    <w:name w:val="xl7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27">
    <w:name w:val="xl73"/>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28">
    <w:name w:val="xl7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textAlignment w:val="center"/>
    </w:pPr>
    <w:rPr>
      <w:rFonts w:ascii="宋体" w:hAnsi="宋体" w:cs="宋体"/>
      <w:kern w:val="0"/>
      <w:sz w:val="20"/>
      <w:szCs w:val="20"/>
    </w:rPr>
  </w:style>
  <w:style w:type="paragraph" w:customStyle="1" w:styleId="129">
    <w:name w:val="xl75"/>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18"/>
      <w:szCs w:val="18"/>
    </w:rPr>
  </w:style>
  <w:style w:type="paragraph" w:customStyle="1" w:styleId="130">
    <w:name w:val="xl7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31">
    <w:name w:val="xl7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132">
    <w:name w:val="xl7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left"/>
    </w:pPr>
    <w:rPr>
      <w:rFonts w:ascii="宋体" w:hAnsi="宋体" w:cs="宋体"/>
      <w:kern w:val="0"/>
      <w:sz w:val="24"/>
      <w:szCs w:val="24"/>
    </w:rPr>
  </w:style>
  <w:style w:type="paragraph" w:customStyle="1" w:styleId="133">
    <w:name w:val="xl7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0"/>
      <w:szCs w:val="20"/>
    </w:rPr>
  </w:style>
  <w:style w:type="paragraph" w:customStyle="1" w:styleId="134">
    <w:name w:val="xl8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FFFF00"/>
      <w:kern w:val="0"/>
      <w:sz w:val="20"/>
      <w:szCs w:val="20"/>
    </w:rPr>
  </w:style>
  <w:style w:type="paragraph" w:customStyle="1" w:styleId="135">
    <w:name w:val="xl81"/>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6">
    <w:name w:val="xl82"/>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color w:val="000000"/>
      <w:kern w:val="0"/>
      <w:sz w:val="20"/>
      <w:szCs w:val="20"/>
    </w:rPr>
  </w:style>
  <w:style w:type="paragraph" w:customStyle="1" w:styleId="137">
    <w:name w:val="xl83"/>
    <w:basedOn w:val="1"/>
    <w:qFormat/>
    <w:uiPriority w:val="0"/>
    <w:pPr>
      <w:widowControl/>
      <w:pBdr>
        <w:top w:val="single" w:color="auto" w:sz="4" w:space="0"/>
        <w:left w:val="single" w:color="auto" w:sz="4" w:space="0"/>
        <w:bottom w:val="single" w:color="auto" w:sz="4" w:space="0"/>
        <w:right w:val="single" w:color="auto" w:sz="4" w:space="0"/>
      </w:pBdr>
      <w:shd w:val="clear" w:color="000000" w:fill="FFFF00"/>
      <w:spacing w:before="100" w:beforeAutospacing="1" w:after="100" w:afterAutospacing="1"/>
      <w:jc w:val="center"/>
      <w:textAlignment w:val="center"/>
    </w:pPr>
    <w:rPr>
      <w:rFonts w:ascii="宋体" w:hAnsi="宋体" w:cs="宋体"/>
      <w:kern w:val="0"/>
      <w:sz w:val="20"/>
      <w:szCs w:val="20"/>
    </w:rPr>
  </w:style>
  <w:style w:type="paragraph" w:customStyle="1" w:styleId="138">
    <w:name w:val="xl84"/>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b/>
      <w:bCs/>
      <w:kern w:val="0"/>
      <w:sz w:val="24"/>
      <w:szCs w:val="24"/>
    </w:rPr>
  </w:style>
  <w:style w:type="paragraph" w:customStyle="1" w:styleId="139">
    <w:name w:val="xl85"/>
    <w:basedOn w:val="1"/>
    <w:qFormat/>
    <w:uiPriority w:val="0"/>
    <w:pPr>
      <w:widowControl/>
      <w:pBdr>
        <w:top w:val="single" w:color="auto" w:sz="4" w:space="0"/>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40">
    <w:name w:val="xl86"/>
    <w:basedOn w:val="1"/>
    <w:qFormat/>
    <w:uiPriority w:val="0"/>
    <w:pPr>
      <w:widowControl/>
      <w:pBdr>
        <w:left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41">
    <w:name w:val="xl87"/>
    <w:basedOn w:val="1"/>
    <w:qFormat/>
    <w:uiPriority w:val="0"/>
    <w:pPr>
      <w:widowControl/>
      <w:pBdr>
        <w:left w:val="single" w:color="auto" w:sz="4" w:space="0"/>
        <w:bottom w:val="single" w:color="auto" w:sz="4" w:space="0"/>
        <w:right w:val="single" w:color="auto" w:sz="4" w:space="0"/>
      </w:pBdr>
      <w:spacing w:before="100" w:beforeAutospacing="1" w:after="100" w:afterAutospacing="1"/>
      <w:jc w:val="center"/>
      <w:textAlignment w:val="center"/>
    </w:pPr>
    <w:rPr>
      <w:rFonts w:ascii="宋体" w:hAnsi="宋体" w:cs="宋体"/>
      <w:kern w:val="0"/>
      <w:sz w:val="20"/>
      <w:szCs w:val="20"/>
    </w:rPr>
  </w:style>
  <w:style w:type="paragraph" w:customStyle="1" w:styleId="142">
    <w:name w:val="修订2"/>
    <w:hidden/>
    <w:unhideWhenUsed/>
    <w:qFormat/>
    <w:uiPriority w:val="99"/>
    <w:rPr>
      <w:rFonts w:ascii="Calibri" w:hAnsi="Calibri" w:eastAsia="宋体" w:cs="Times New Roman"/>
      <w:kern w:val="2"/>
      <w:sz w:val="21"/>
      <w:szCs w:val="22"/>
      <w:lang w:val="en-US" w:eastAsia="zh-CN" w:bidi="ar-SA"/>
    </w:rPr>
  </w:style>
  <w:style w:type="paragraph" w:customStyle="1" w:styleId="143">
    <w:name w:val="修订3"/>
    <w:hidden/>
    <w:semiHidden/>
    <w:qFormat/>
    <w:uiPriority w:val="99"/>
    <w:rPr>
      <w:rFonts w:ascii="Calibri" w:hAnsi="Calibri" w:eastAsia="宋体" w:cs="Times New Roman"/>
      <w:kern w:val="2"/>
      <w:sz w:val="21"/>
      <w:szCs w:val="22"/>
      <w:lang w:val="en-US" w:eastAsia="zh-CN" w:bidi="ar-SA"/>
    </w:rPr>
  </w:style>
  <w:style w:type="paragraph" w:customStyle="1" w:styleId="144">
    <w:name w:val="修订4"/>
    <w:hidden/>
    <w:semiHidden/>
    <w:qFormat/>
    <w:uiPriority w:val="99"/>
    <w:rPr>
      <w:rFonts w:ascii="Calibri" w:hAnsi="Calibri" w:eastAsia="宋体" w:cs="Times New Roman"/>
      <w:kern w:val="2"/>
      <w:sz w:val="21"/>
      <w:szCs w:val="22"/>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customXml" Target="../customXml/item3.xml"/><Relationship Id="rId98" Type="http://schemas.openxmlformats.org/officeDocument/2006/relationships/customXml" Target="../customXml/item2.xml"/><Relationship Id="rId97" Type="http://schemas.openxmlformats.org/officeDocument/2006/relationships/customXml" Target="../customXml/item1.xml"/><Relationship Id="rId96" Type="http://schemas.openxmlformats.org/officeDocument/2006/relationships/numbering" Target="numbering.xml"/><Relationship Id="rId95" Type="http://schemas.openxmlformats.org/officeDocument/2006/relationships/image" Target="media/image79.emf"/><Relationship Id="rId94" Type="http://schemas.openxmlformats.org/officeDocument/2006/relationships/image" Target="media/image78.emf"/><Relationship Id="rId93" Type="http://schemas.openxmlformats.org/officeDocument/2006/relationships/image" Target="media/image77.emf"/><Relationship Id="rId92" Type="http://schemas.openxmlformats.org/officeDocument/2006/relationships/image" Target="media/image76.emf"/><Relationship Id="rId91" Type="http://schemas.openxmlformats.org/officeDocument/2006/relationships/image" Target="media/image75.png"/><Relationship Id="rId90" Type="http://schemas.openxmlformats.org/officeDocument/2006/relationships/image" Target="media/image74.jpeg"/><Relationship Id="rId9" Type="http://schemas.openxmlformats.org/officeDocument/2006/relationships/footer" Target="footer5.xml"/><Relationship Id="rId89" Type="http://schemas.openxmlformats.org/officeDocument/2006/relationships/image" Target="media/image73.jpeg"/><Relationship Id="rId88" Type="http://schemas.openxmlformats.org/officeDocument/2006/relationships/image" Target="media/image72.png"/><Relationship Id="rId87" Type="http://schemas.openxmlformats.org/officeDocument/2006/relationships/image" Target="media/image71.png"/><Relationship Id="rId86" Type="http://schemas.openxmlformats.org/officeDocument/2006/relationships/image" Target="media/image70.png"/><Relationship Id="rId85" Type="http://schemas.openxmlformats.org/officeDocument/2006/relationships/image" Target="media/image69.jpeg"/><Relationship Id="rId84" Type="http://schemas.openxmlformats.org/officeDocument/2006/relationships/image" Target="media/image68.jpeg"/><Relationship Id="rId83" Type="http://schemas.openxmlformats.org/officeDocument/2006/relationships/image" Target="media/image67.png"/><Relationship Id="rId82" Type="http://schemas.openxmlformats.org/officeDocument/2006/relationships/image" Target="media/image66.png"/><Relationship Id="rId81" Type="http://schemas.openxmlformats.org/officeDocument/2006/relationships/image" Target="media/image65.png"/><Relationship Id="rId80" Type="http://schemas.openxmlformats.org/officeDocument/2006/relationships/image" Target="media/image64.png"/><Relationship Id="rId8" Type="http://schemas.openxmlformats.org/officeDocument/2006/relationships/footer" Target="footer4.xml"/><Relationship Id="rId79" Type="http://schemas.openxmlformats.org/officeDocument/2006/relationships/image" Target="media/image63.png"/><Relationship Id="rId78" Type="http://schemas.openxmlformats.org/officeDocument/2006/relationships/image" Target="media/image62.png"/><Relationship Id="rId77" Type="http://schemas.openxmlformats.org/officeDocument/2006/relationships/image" Target="media/image61.png"/><Relationship Id="rId76" Type="http://schemas.openxmlformats.org/officeDocument/2006/relationships/image" Target="media/image60.jpeg"/><Relationship Id="rId75" Type="http://schemas.openxmlformats.org/officeDocument/2006/relationships/image" Target="media/image59.jpeg"/><Relationship Id="rId74" Type="http://schemas.openxmlformats.org/officeDocument/2006/relationships/image" Target="media/image58.png"/><Relationship Id="rId73" Type="http://schemas.openxmlformats.org/officeDocument/2006/relationships/image" Target="media/image57.png"/><Relationship Id="rId72" Type="http://schemas.openxmlformats.org/officeDocument/2006/relationships/image" Target="media/image56.png"/><Relationship Id="rId71" Type="http://schemas.openxmlformats.org/officeDocument/2006/relationships/image" Target="media/image55.png"/><Relationship Id="rId70" Type="http://schemas.openxmlformats.org/officeDocument/2006/relationships/image" Target="media/image54.png"/><Relationship Id="rId7" Type="http://schemas.openxmlformats.org/officeDocument/2006/relationships/header" Target="header2.xml"/><Relationship Id="rId69" Type="http://schemas.openxmlformats.org/officeDocument/2006/relationships/image" Target="media/image53.png"/><Relationship Id="rId68" Type="http://schemas.openxmlformats.org/officeDocument/2006/relationships/image" Target="media/image52.png"/><Relationship Id="rId67" Type="http://schemas.openxmlformats.org/officeDocument/2006/relationships/image" Target="media/image51.png"/><Relationship Id="rId66" Type="http://schemas.openxmlformats.org/officeDocument/2006/relationships/image" Target="media/image50.png"/><Relationship Id="rId65" Type="http://schemas.openxmlformats.org/officeDocument/2006/relationships/image" Target="media/image49.png"/><Relationship Id="rId64" Type="http://schemas.openxmlformats.org/officeDocument/2006/relationships/image" Target="media/image48.png"/><Relationship Id="rId63" Type="http://schemas.openxmlformats.org/officeDocument/2006/relationships/image" Target="media/image47.jpeg"/><Relationship Id="rId62" Type="http://schemas.openxmlformats.org/officeDocument/2006/relationships/image" Target="media/image46.jpeg"/><Relationship Id="rId61" Type="http://schemas.openxmlformats.org/officeDocument/2006/relationships/image" Target="media/image45.jpeg"/><Relationship Id="rId60" Type="http://schemas.openxmlformats.org/officeDocument/2006/relationships/image" Target="media/image44.jpeg"/><Relationship Id="rId6" Type="http://schemas.openxmlformats.org/officeDocument/2006/relationships/header" Target="header1.xml"/><Relationship Id="rId59" Type="http://schemas.openxmlformats.org/officeDocument/2006/relationships/image" Target="media/image43.jpeg"/><Relationship Id="rId58" Type="http://schemas.openxmlformats.org/officeDocument/2006/relationships/image" Target="media/image42.jpeg"/><Relationship Id="rId57" Type="http://schemas.openxmlformats.org/officeDocument/2006/relationships/image" Target="media/image41.png"/><Relationship Id="rId56" Type="http://schemas.openxmlformats.org/officeDocument/2006/relationships/image" Target="media/image40.jpeg"/><Relationship Id="rId55" Type="http://schemas.openxmlformats.org/officeDocument/2006/relationships/image" Target="media/image39.jpeg"/><Relationship Id="rId54" Type="http://schemas.openxmlformats.org/officeDocument/2006/relationships/image" Target="media/image38.png"/><Relationship Id="rId53" Type="http://schemas.openxmlformats.org/officeDocument/2006/relationships/image" Target="media/image37.png"/><Relationship Id="rId52" Type="http://schemas.openxmlformats.org/officeDocument/2006/relationships/image" Target="media/image36.png"/><Relationship Id="rId51" Type="http://schemas.openxmlformats.org/officeDocument/2006/relationships/image" Target="media/image35.png"/><Relationship Id="rId50" Type="http://schemas.openxmlformats.org/officeDocument/2006/relationships/image" Target="media/image34.jpeg"/><Relationship Id="rId5" Type="http://schemas.openxmlformats.org/officeDocument/2006/relationships/footer" Target="footer3.xml"/><Relationship Id="rId49" Type="http://schemas.openxmlformats.org/officeDocument/2006/relationships/image" Target="media/image33.png"/><Relationship Id="rId48" Type="http://schemas.openxmlformats.org/officeDocument/2006/relationships/image" Target="media/image32.png"/><Relationship Id="rId47" Type="http://schemas.openxmlformats.org/officeDocument/2006/relationships/image" Target="media/image31.png"/><Relationship Id="rId46" Type="http://schemas.openxmlformats.org/officeDocument/2006/relationships/image" Target="media/image30.jpeg"/><Relationship Id="rId45" Type="http://schemas.openxmlformats.org/officeDocument/2006/relationships/image" Target="media/image29.png"/><Relationship Id="rId44" Type="http://schemas.openxmlformats.org/officeDocument/2006/relationships/image" Target="media/image28.png"/><Relationship Id="rId43" Type="http://schemas.openxmlformats.org/officeDocument/2006/relationships/image" Target="media/image27.png"/><Relationship Id="rId42" Type="http://schemas.openxmlformats.org/officeDocument/2006/relationships/image" Target="media/image26.png"/><Relationship Id="rId41" Type="http://schemas.openxmlformats.org/officeDocument/2006/relationships/image" Target="media/image25.png"/><Relationship Id="rId40" Type="http://schemas.openxmlformats.org/officeDocument/2006/relationships/image" Target="media/image24.png"/><Relationship Id="rId4" Type="http://schemas.openxmlformats.org/officeDocument/2006/relationships/footer" Target="footer2.xml"/><Relationship Id="rId39" Type="http://schemas.openxmlformats.org/officeDocument/2006/relationships/image" Target="media/image23.png"/><Relationship Id="rId38" Type="http://schemas.openxmlformats.org/officeDocument/2006/relationships/image" Target="media/image22.jpeg"/><Relationship Id="rId37" Type="http://schemas.openxmlformats.org/officeDocument/2006/relationships/image" Target="media/image21.png"/><Relationship Id="rId36" Type="http://schemas.openxmlformats.org/officeDocument/2006/relationships/image" Target="media/image20.jpeg"/><Relationship Id="rId35" Type="http://schemas.openxmlformats.org/officeDocument/2006/relationships/image" Target="media/image19.png"/><Relationship Id="rId34" Type="http://schemas.openxmlformats.org/officeDocument/2006/relationships/image" Target="media/image18.jpeg"/><Relationship Id="rId33" Type="http://schemas.openxmlformats.org/officeDocument/2006/relationships/image" Target="media/image17.png"/><Relationship Id="rId32" Type="http://schemas.openxmlformats.org/officeDocument/2006/relationships/image" Target="media/image16.emf"/><Relationship Id="rId31" Type="http://schemas.openxmlformats.org/officeDocument/2006/relationships/image" Target="media/image15.emf"/><Relationship Id="rId30" Type="http://schemas.openxmlformats.org/officeDocument/2006/relationships/image" Target="media/image14.png"/><Relationship Id="rId3" Type="http://schemas.openxmlformats.org/officeDocument/2006/relationships/footer" Target="footer1.xml"/><Relationship Id="rId29" Type="http://schemas.openxmlformats.org/officeDocument/2006/relationships/image" Target="media/image13.png"/><Relationship Id="rId28" Type="http://schemas.openxmlformats.org/officeDocument/2006/relationships/image" Target="media/image12.jpeg"/><Relationship Id="rId27" Type="http://schemas.openxmlformats.org/officeDocument/2006/relationships/image" Target="media/image11.png"/><Relationship Id="rId26" Type="http://schemas.openxmlformats.org/officeDocument/2006/relationships/image" Target="media/image10.png"/><Relationship Id="rId25" Type="http://schemas.openxmlformats.org/officeDocument/2006/relationships/image" Target="media/image9.jpeg"/><Relationship Id="rId24" Type="http://schemas.openxmlformats.org/officeDocument/2006/relationships/image" Target="media/image8.png"/><Relationship Id="rId23" Type="http://schemas.openxmlformats.org/officeDocument/2006/relationships/image" Target="media/image7.jpeg"/><Relationship Id="rId22" Type="http://schemas.openxmlformats.org/officeDocument/2006/relationships/image" Target="media/image6.png"/><Relationship Id="rId21" Type="http://schemas.openxmlformats.org/officeDocument/2006/relationships/image" Target="media/image5.png"/><Relationship Id="rId20" Type="http://schemas.openxmlformats.org/officeDocument/2006/relationships/image" Target="media/image4.jpeg"/><Relationship Id="rId2" Type="http://schemas.openxmlformats.org/officeDocument/2006/relationships/settings" Target="settings.xml"/><Relationship Id="rId19" Type="http://schemas.openxmlformats.org/officeDocument/2006/relationships/image" Target="media/image3.jpeg"/><Relationship Id="rId18" Type="http://schemas.openxmlformats.org/officeDocument/2006/relationships/image" Target="media/image2.jpeg"/><Relationship Id="rId17" Type="http://schemas.openxmlformats.org/officeDocument/2006/relationships/image" Target="media/image1.jpeg"/><Relationship Id="rId16" Type="http://schemas.openxmlformats.org/officeDocument/2006/relationships/theme" Target="theme/theme1.xml"/><Relationship Id="rId15" Type="http://schemas.openxmlformats.org/officeDocument/2006/relationships/footer" Target="footer8.xml"/><Relationship Id="rId14" Type="http://schemas.openxmlformats.org/officeDocument/2006/relationships/footer" Target="footer7.xml"/><Relationship Id="rId13" Type="http://schemas.openxmlformats.org/officeDocument/2006/relationships/header" Target="header5.xml"/><Relationship Id="rId12" Type="http://schemas.openxmlformats.org/officeDocument/2006/relationships/header" Target="header4.xml"/><Relationship Id="rId11" Type="http://schemas.openxmlformats.org/officeDocument/2006/relationships/footer" Target="footer6.xml"/><Relationship Id="rId100" Type="http://schemas.openxmlformats.org/officeDocument/2006/relationships/fontTable" Target="fontTable.xml"/><Relationship Id="rId10" Type="http://schemas.openxmlformats.org/officeDocument/2006/relationships/header" Target="head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5285BD-F981-40D4-B411-6E269DCA8829}">
  <ds:schemaRefs/>
</ds:datastoreItem>
</file>

<file path=customXml/itemProps2.xml><?xml version="1.0" encoding="utf-8"?>
<ds:datastoreItem xmlns:ds="http://schemas.openxmlformats.org/officeDocument/2006/customXml" ds:itemID="{335B11A2-7617-47BC-AA95-C379294DFA77}">
  <ds:schemaRefs/>
</ds:datastoreItem>
</file>

<file path=customXml/itemProps3.xml><?xml version="1.0" encoding="utf-8"?>
<ds:datastoreItem xmlns:ds="http://schemas.openxmlformats.org/officeDocument/2006/customXml" ds:itemID="{0874E4B0-96A6-4F7C-9B6D-3233962B5124}">
  <ds:schemaRefs/>
</ds:datastoreItem>
</file>

<file path=docProps/app.xml><?xml version="1.0" encoding="utf-8"?>
<Properties xmlns="http://schemas.openxmlformats.org/officeDocument/2006/extended-properties" xmlns:vt="http://schemas.openxmlformats.org/officeDocument/2006/docPropsVTypes">
  <Template>Normal</Template>
  <Pages>208</Pages>
  <Words>26961</Words>
  <Characters>153682</Characters>
  <Lines>1280</Lines>
  <Paragraphs>360</Paragraphs>
  <TotalTime>4</TotalTime>
  <ScaleCrop>false</ScaleCrop>
  <LinksUpToDate>false</LinksUpToDate>
  <CharactersWithSpaces>180283</CharactersWithSpaces>
  <Application>WPS Office_11.1.0.14309_F1E327BC-269C-435d-A152-05C5408002CA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2023-03-13T10:46:00Z</dcterms:created>
  <dc:creator>熊又球</dc:creator>
  <cp:lastModifiedBy>ruan</cp:lastModifiedBy>
  <cp:lastPrinted>2022-10-26T01:39:00Z</cp:lastPrinted>
  <dcterms:modified xsi:type="dcterms:W3CDTF">2023-06-21T01:46:43Z</dcterms:modified>
  <dc:title>建设工程施工合同</dc:title>
  <cp:revision>328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0FA33E2F09BD45308573B0FA636C7E9A</vt:lpwstr>
  </property>
</Properties>
</file>